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620A2" w14:textId="09FA1354" w:rsidR="00C439A3" w:rsidRDefault="00404B49" w:rsidP="00404B49">
      <w:pPr>
        <w:jc w:val="center"/>
      </w:pPr>
      <w:r w:rsidRPr="00404B49">
        <w:rPr>
          <w:noProof/>
        </w:rPr>
        <w:drawing>
          <wp:inline distT="0" distB="0" distL="0" distR="0" wp14:anchorId="59C434A9" wp14:editId="4D26AD79">
            <wp:extent cx="969010" cy="960120"/>
            <wp:effectExtent l="0" t="0" r="2540" b="0"/>
            <wp:docPr id="446868743" name="Picture 1"/>
            <wp:cNvGraphicFramePr/>
            <a:graphic xmlns:a="http://schemas.openxmlformats.org/drawingml/2006/main">
              <a:graphicData uri="http://schemas.openxmlformats.org/drawingml/2006/picture">
                <pic:pic xmlns:pic="http://schemas.openxmlformats.org/drawingml/2006/picture">
                  <pic:nvPicPr>
                    <pic:cNvPr id="44686874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9010" cy="960120"/>
                    </a:xfrm>
                    <a:prstGeom prst="rect">
                      <a:avLst/>
                    </a:prstGeom>
                  </pic:spPr>
                </pic:pic>
              </a:graphicData>
            </a:graphic>
          </wp:inline>
        </w:drawing>
      </w:r>
    </w:p>
    <w:p w14:paraId="39B14A93" w14:textId="77777777" w:rsidR="00404B49" w:rsidRDefault="00404B49">
      <w:pPr>
        <w:jc w:val="right"/>
      </w:pPr>
    </w:p>
    <w:p w14:paraId="580EA8B6" w14:textId="5B9DD177" w:rsidR="00C439A3" w:rsidRDefault="00C439A3">
      <w:pPr>
        <w:pStyle w:val="CoverText"/>
        <w:jc w:val="left"/>
        <w:rPr>
          <w:bCs/>
          <w:sz w:val="20"/>
          <w:u w:val="none"/>
        </w:rPr>
      </w:pPr>
      <w:r>
        <w:rPr>
          <w:bCs/>
        </w:rPr>
        <w:t xml:space="preserve">Neutral Citation Number: </w:t>
      </w:r>
      <w:r w:rsidR="00024DC3">
        <w:rPr>
          <w:bCs/>
        </w:rPr>
        <w:t>[2026] EWCA Crim 774</w:t>
      </w:r>
      <w:r>
        <w:rPr>
          <w:bCs/>
        </w:rPr>
        <w:br/>
      </w:r>
    </w:p>
    <w:p w14:paraId="456B415B" w14:textId="0F251E25" w:rsidR="00C439A3" w:rsidRDefault="00C439A3">
      <w:pPr>
        <w:pStyle w:val="CoverText"/>
        <w:rPr>
          <w:b/>
          <w:spacing w:val="-3"/>
        </w:rPr>
      </w:pPr>
      <w:r>
        <w:t xml:space="preserve">Case No: </w:t>
      </w:r>
      <w:r w:rsidR="0066135A">
        <w:t>202501196 B4</w:t>
      </w:r>
    </w:p>
    <w:p w14:paraId="3EB727D6"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COURT OF APPEAL (</w:t>
      </w:r>
      <w:r w:rsidR="006546BC">
        <w:t>CRIMINAL</w:t>
      </w:r>
      <w:r>
        <w:t xml:space="preserve"> DIVISION)</w:t>
      </w:r>
    </w:p>
    <w:p w14:paraId="1380062D" w14:textId="1C92FA64"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ON APPEAL FROM </w:t>
      </w:r>
      <w:r w:rsidR="00026093">
        <w:t>THE CROWN COURT AT HARROW</w:t>
      </w:r>
    </w:p>
    <w:p w14:paraId="3179A020" w14:textId="2298E9BC" w:rsidR="00C439A3" w:rsidRDefault="00FA5A7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HHJ KINCH</w:t>
      </w:r>
    </w:p>
    <w:p w14:paraId="2200B2CF" w14:textId="3F82D552" w:rsidR="00C439A3" w:rsidRDefault="00D03AA9">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01QK</w:t>
      </w:r>
      <w:r w:rsidR="00322931">
        <w:t>1301224/U2024</w:t>
      </w:r>
      <w:r w:rsidR="0066135A">
        <w:t>1165</w:t>
      </w:r>
    </w:p>
    <w:p w14:paraId="0FD8781C" w14:textId="77777777" w:rsidR="00C439A3" w:rsidRDefault="00C439A3">
      <w:pPr>
        <w:pStyle w:val="CoverText"/>
      </w:pPr>
      <w:r>
        <w:t>Royal Courts of Justice</w:t>
      </w:r>
    </w:p>
    <w:p w14:paraId="7E847387" w14:textId="77777777" w:rsidR="00C439A3" w:rsidRDefault="00C439A3">
      <w:pPr>
        <w:pStyle w:val="CoverText"/>
      </w:pPr>
      <w:r>
        <w:t>Strand, London, WC2A 2LL</w:t>
      </w:r>
    </w:p>
    <w:p w14:paraId="3A510C70" w14:textId="77777777" w:rsidR="00C439A3" w:rsidRDefault="00C439A3">
      <w:pPr>
        <w:suppressAutoHyphens/>
        <w:jc w:val="right"/>
        <w:rPr>
          <w:spacing w:val="-3"/>
          <w:u w:val="single"/>
        </w:rPr>
      </w:pPr>
    </w:p>
    <w:p w14:paraId="5256EB0B" w14:textId="1B5851A7" w:rsidR="00C439A3" w:rsidRDefault="00C439A3">
      <w:pPr>
        <w:pStyle w:val="CoverText"/>
        <w:rPr>
          <w:b/>
        </w:rPr>
      </w:pPr>
      <w:r>
        <w:t xml:space="preserve">Date: </w:t>
      </w:r>
      <w:r w:rsidR="00321C25">
        <w:t>24 June 2026</w:t>
      </w:r>
    </w:p>
    <w:p w14:paraId="6B83F456" w14:textId="40FC514A" w:rsidR="00C439A3" w:rsidRDefault="00C439A3">
      <w:pPr>
        <w:suppressAutoHyphens/>
        <w:jc w:val="center"/>
        <w:rPr>
          <w:b/>
          <w:spacing w:val="-3"/>
        </w:rPr>
      </w:pPr>
      <w:r>
        <w:rPr>
          <w:b/>
          <w:spacing w:val="-3"/>
        </w:rPr>
        <w:t>Before:</w:t>
      </w:r>
    </w:p>
    <w:p w14:paraId="4041844C" w14:textId="77777777" w:rsidR="00C439A3" w:rsidRDefault="00C439A3">
      <w:pPr>
        <w:suppressAutoHyphens/>
        <w:jc w:val="center"/>
        <w:rPr>
          <w:spacing w:val="-3"/>
        </w:rPr>
      </w:pPr>
    </w:p>
    <w:p w14:paraId="2C7D3798" w14:textId="32B342ED" w:rsidR="00C439A3" w:rsidRDefault="006546B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JEREMY BAKER</w:t>
      </w:r>
    </w:p>
    <w:p w14:paraId="5ACA8FD8" w14:textId="4F8C818C" w:rsidR="00C439A3" w:rsidRDefault="006546BC">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MR JUSTICE WALL</w:t>
      </w:r>
      <w:r w:rsidR="00C439A3">
        <w:br/>
      </w:r>
      <w:r w:rsidR="00C439A3">
        <w:rPr>
          <w:b w:val="0"/>
          <w:bCs/>
          <w:u w:val="none"/>
        </w:rPr>
        <w:t>and</w:t>
      </w:r>
    </w:p>
    <w:p w14:paraId="27FD3234" w14:textId="43F223A4" w:rsidR="00C439A3" w:rsidRDefault="00E12D69">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MRS JUSTICE HILL</w:t>
      </w:r>
    </w:p>
    <w:p w14:paraId="377BBB79" w14:textId="77777777" w:rsidR="00C439A3" w:rsidRDefault="00C439A3">
      <w:pPr>
        <w:suppressAutoHyphens/>
        <w:jc w:val="center"/>
        <w:rPr>
          <w:spacing w:val="-3"/>
        </w:rPr>
      </w:pPr>
      <w:r>
        <w:rPr>
          <w:spacing w:val="-3"/>
        </w:rPr>
        <w:t>- - - - - - - - - - - - - - - - - - - - -</w:t>
      </w:r>
    </w:p>
    <w:p w14:paraId="20D3EED8" w14:textId="2AC75B7A" w:rsidR="00C439A3" w:rsidRDefault="00C439A3">
      <w:pPr>
        <w:suppressAutoHyphens/>
        <w:jc w:val="center"/>
        <w:rPr>
          <w:b/>
          <w:spacing w:val="-3"/>
        </w:rPr>
      </w:pPr>
      <w:r>
        <w:rPr>
          <w:b/>
          <w:spacing w:val="-3"/>
        </w:rPr>
        <w:t>Between:</w:t>
      </w:r>
    </w:p>
    <w:p w14:paraId="7D7E9ECB" w14:textId="77777777" w:rsidR="00C439A3" w:rsidRDefault="00C439A3">
      <w:pPr>
        <w:suppressAutoHyphens/>
        <w:rPr>
          <w:b/>
          <w:spacing w:val="-3"/>
        </w:rPr>
      </w:pPr>
    </w:p>
    <w:tbl>
      <w:tblPr>
        <w:tblW w:w="0" w:type="auto"/>
        <w:tblInd w:w="144" w:type="dxa"/>
        <w:tblLayout w:type="fixed"/>
        <w:tblLook w:val="0000" w:firstRow="0" w:lastRow="0" w:firstColumn="0" w:lastColumn="0" w:noHBand="0" w:noVBand="0"/>
      </w:tblPr>
      <w:tblGrid>
        <w:gridCol w:w="1314"/>
        <w:gridCol w:w="6210"/>
        <w:gridCol w:w="1440"/>
      </w:tblGrid>
      <w:tr w:rsidR="00C439A3" w14:paraId="787D8A92" w14:textId="77777777">
        <w:tc>
          <w:tcPr>
            <w:tcW w:w="1314" w:type="dxa"/>
          </w:tcPr>
          <w:p w14:paraId="7D9ED923" w14:textId="77777777" w:rsidR="00C439A3" w:rsidRDefault="00C439A3">
            <w:pPr>
              <w:suppressAutoHyphens/>
              <w:rPr>
                <w:b/>
                <w:spacing w:val="-3"/>
              </w:rPr>
            </w:pPr>
          </w:p>
        </w:tc>
        <w:tc>
          <w:tcPr>
            <w:tcW w:w="6210" w:type="dxa"/>
          </w:tcPr>
          <w:p w14:paraId="51FD1C9C" w14:textId="0196BB07" w:rsidR="00C439A3" w:rsidRDefault="003D274F">
            <w:pPr>
              <w:suppressAutoHyphens/>
              <w:jc w:val="center"/>
              <w:rPr>
                <w:b/>
                <w:spacing w:val="-3"/>
              </w:rPr>
            </w:pPr>
            <w:r>
              <w:rPr>
                <w:b/>
                <w:spacing w:val="-3"/>
              </w:rPr>
              <w:t>ADRIAN POP</w:t>
            </w:r>
          </w:p>
        </w:tc>
        <w:tc>
          <w:tcPr>
            <w:tcW w:w="1440" w:type="dxa"/>
          </w:tcPr>
          <w:p w14:paraId="763F611D"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Appellant</w:t>
            </w:r>
          </w:p>
        </w:tc>
      </w:tr>
      <w:tr w:rsidR="00C439A3" w14:paraId="6D7C6051" w14:textId="77777777">
        <w:tc>
          <w:tcPr>
            <w:tcW w:w="1314" w:type="dxa"/>
          </w:tcPr>
          <w:p w14:paraId="0339F8C1" w14:textId="77777777" w:rsidR="00C439A3" w:rsidRDefault="00C439A3">
            <w:pPr>
              <w:suppressAutoHyphens/>
              <w:rPr>
                <w:b/>
                <w:spacing w:val="-3"/>
              </w:rPr>
            </w:pPr>
          </w:p>
        </w:tc>
        <w:tc>
          <w:tcPr>
            <w:tcW w:w="6210" w:type="dxa"/>
          </w:tcPr>
          <w:p w14:paraId="6208C560" w14:textId="77777777" w:rsidR="00C439A3" w:rsidRDefault="00C439A3">
            <w:pPr>
              <w:tabs>
                <w:tab w:val="center" w:pos="3312"/>
              </w:tabs>
              <w:suppressAutoHyphens/>
              <w:jc w:val="center"/>
              <w:rPr>
                <w:b/>
                <w:spacing w:val="-3"/>
              </w:rPr>
            </w:pPr>
            <w:r>
              <w:rPr>
                <w:b/>
                <w:spacing w:val="-3"/>
              </w:rPr>
              <w:t>- and -</w:t>
            </w:r>
          </w:p>
        </w:tc>
        <w:tc>
          <w:tcPr>
            <w:tcW w:w="1440" w:type="dxa"/>
          </w:tcPr>
          <w:p w14:paraId="0588D5BD" w14:textId="77777777" w:rsidR="00C439A3" w:rsidRDefault="00C439A3">
            <w:pPr>
              <w:suppressAutoHyphens/>
              <w:jc w:val="right"/>
              <w:rPr>
                <w:b/>
                <w:spacing w:val="-3"/>
              </w:rPr>
            </w:pPr>
          </w:p>
        </w:tc>
      </w:tr>
      <w:tr w:rsidR="00C439A3" w14:paraId="615D7295" w14:textId="77777777">
        <w:tc>
          <w:tcPr>
            <w:tcW w:w="1314" w:type="dxa"/>
          </w:tcPr>
          <w:p w14:paraId="5787E727" w14:textId="77777777" w:rsidR="00C439A3" w:rsidRDefault="00C439A3">
            <w:pPr>
              <w:suppressAutoHyphens/>
              <w:rPr>
                <w:b/>
                <w:spacing w:val="-3"/>
              </w:rPr>
            </w:pPr>
          </w:p>
        </w:tc>
        <w:tc>
          <w:tcPr>
            <w:tcW w:w="6210" w:type="dxa"/>
          </w:tcPr>
          <w:p w14:paraId="13BBBA62" w14:textId="0D140D3F" w:rsidR="00C439A3" w:rsidRDefault="003D274F">
            <w:pPr>
              <w:tabs>
                <w:tab w:val="center" w:pos="3312"/>
              </w:tabs>
              <w:suppressAutoHyphens/>
              <w:jc w:val="center"/>
              <w:rPr>
                <w:b/>
                <w:spacing w:val="-3"/>
              </w:rPr>
            </w:pPr>
            <w:r>
              <w:rPr>
                <w:b/>
                <w:spacing w:val="-3"/>
              </w:rPr>
              <w:t>REX</w:t>
            </w:r>
          </w:p>
        </w:tc>
        <w:tc>
          <w:tcPr>
            <w:tcW w:w="1440" w:type="dxa"/>
          </w:tcPr>
          <w:p w14:paraId="23E9F4B4"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Respondent</w:t>
            </w:r>
          </w:p>
        </w:tc>
      </w:tr>
    </w:tbl>
    <w:p w14:paraId="5901AC1F" w14:textId="77777777" w:rsidR="00C439A3" w:rsidRDefault="00C439A3">
      <w:pPr>
        <w:suppressAutoHyphens/>
        <w:rPr>
          <w:b/>
          <w:spacing w:val="-3"/>
        </w:rPr>
      </w:pPr>
    </w:p>
    <w:p w14:paraId="303513FA" w14:textId="77777777" w:rsidR="00C439A3" w:rsidRDefault="00C439A3">
      <w:pPr>
        <w:suppressAutoHyphens/>
        <w:jc w:val="center"/>
        <w:rPr>
          <w:spacing w:val="-3"/>
        </w:rPr>
      </w:pPr>
      <w:r>
        <w:rPr>
          <w:spacing w:val="-3"/>
        </w:rPr>
        <w:t>- - - - - - - - - - - - - - - - - - - - -</w:t>
      </w:r>
    </w:p>
    <w:p w14:paraId="7F4C3B2D" w14:textId="77777777" w:rsidR="00C439A3" w:rsidRDefault="00C439A3">
      <w:pPr>
        <w:suppressAutoHyphens/>
        <w:jc w:val="center"/>
        <w:rPr>
          <w:spacing w:val="-3"/>
        </w:rPr>
      </w:pPr>
      <w:r>
        <w:rPr>
          <w:spacing w:val="-3"/>
        </w:rPr>
        <w:t>- - - - - - - - - - - - - - - - - - - - -</w:t>
      </w:r>
    </w:p>
    <w:p w14:paraId="2A8739FD" w14:textId="77777777" w:rsidR="00C439A3" w:rsidRDefault="00C439A3">
      <w:pPr>
        <w:suppressAutoHyphens/>
        <w:jc w:val="center"/>
        <w:rPr>
          <w:spacing w:val="-3"/>
        </w:rPr>
      </w:pPr>
    </w:p>
    <w:p w14:paraId="20C87681" w14:textId="18C24178" w:rsidR="00C439A3" w:rsidRDefault="007B0098">
      <w:pPr>
        <w:suppressAutoHyphens/>
        <w:jc w:val="center"/>
        <w:rPr>
          <w:bCs/>
          <w:spacing w:val="-3"/>
        </w:rPr>
      </w:pPr>
      <w:r>
        <w:rPr>
          <w:b/>
          <w:spacing w:val="-3"/>
        </w:rPr>
        <w:t>M</w:t>
      </w:r>
      <w:r w:rsidR="002C3CE4">
        <w:rPr>
          <w:b/>
          <w:spacing w:val="-3"/>
        </w:rPr>
        <w:t>x</w:t>
      </w:r>
      <w:r>
        <w:rPr>
          <w:b/>
          <w:spacing w:val="-3"/>
        </w:rPr>
        <w:t xml:space="preserve"> Alex Benn</w:t>
      </w:r>
      <w:r w:rsidR="00C439A3">
        <w:rPr>
          <w:bCs/>
          <w:spacing w:val="-3"/>
        </w:rPr>
        <w:t xml:space="preserve"> (instructed by </w:t>
      </w:r>
      <w:r>
        <w:rPr>
          <w:b/>
          <w:spacing w:val="-3"/>
        </w:rPr>
        <w:t>GSG L</w:t>
      </w:r>
      <w:r w:rsidR="009F2B96">
        <w:rPr>
          <w:b/>
          <w:spacing w:val="-3"/>
        </w:rPr>
        <w:t>aw</w:t>
      </w:r>
      <w:r w:rsidR="00C439A3">
        <w:rPr>
          <w:bCs/>
          <w:spacing w:val="-3"/>
        </w:rPr>
        <w:t xml:space="preserve">) for the </w:t>
      </w:r>
      <w:r w:rsidR="009F2B96">
        <w:rPr>
          <w:b/>
          <w:spacing w:val="-3"/>
        </w:rPr>
        <w:t>Appellant</w:t>
      </w:r>
    </w:p>
    <w:p w14:paraId="4576F34D" w14:textId="29F4B0A2" w:rsidR="00C439A3" w:rsidRDefault="004203BC">
      <w:pPr>
        <w:suppressAutoHyphens/>
        <w:jc w:val="center"/>
        <w:rPr>
          <w:bCs/>
          <w:spacing w:val="-3"/>
        </w:rPr>
      </w:pPr>
      <w:r>
        <w:rPr>
          <w:b/>
          <w:spacing w:val="-3"/>
        </w:rPr>
        <w:t>Mr Richard Job</w:t>
      </w:r>
      <w:r w:rsidR="00C439A3">
        <w:rPr>
          <w:b/>
          <w:spacing w:val="-3"/>
        </w:rPr>
        <w:t xml:space="preserve"> </w:t>
      </w:r>
      <w:r w:rsidR="00C439A3">
        <w:rPr>
          <w:bCs/>
          <w:spacing w:val="-3"/>
        </w:rPr>
        <w:t>(instructed by</w:t>
      </w:r>
      <w:r w:rsidR="00C439A3">
        <w:rPr>
          <w:b/>
          <w:spacing w:val="-3"/>
        </w:rPr>
        <w:t xml:space="preserve"> </w:t>
      </w:r>
      <w:r w:rsidR="009F2B96">
        <w:rPr>
          <w:b/>
          <w:spacing w:val="-3"/>
        </w:rPr>
        <w:t xml:space="preserve">Crown Prosecution </w:t>
      </w:r>
      <w:r w:rsidR="00D61BD2">
        <w:rPr>
          <w:b/>
          <w:spacing w:val="-3"/>
        </w:rPr>
        <w:t>Service</w:t>
      </w:r>
      <w:r w:rsidR="00C439A3">
        <w:rPr>
          <w:bCs/>
          <w:spacing w:val="-3"/>
        </w:rPr>
        <w:t xml:space="preserve">) for the </w:t>
      </w:r>
      <w:r w:rsidR="00D61BD2">
        <w:rPr>
          <w:b/>
          <w:spacing w:val="-3"/>
        </w:rPr>
        <w:t>Respondent</w:t>
      </w:r>
    </w:p>
    <w:p w14:paraId="7F60B2E6" w14:textId="77777777" w:rsidR="00C439A3" w:rsidRDefault="00C439A3">
      <w:pPr>
        <w:suppressAutoHyphens/>
        <w:jc w:val="center"/>
        <w:rPr>
          <w:b/>
          <w:spacing w:val="-3"/>
        </w:rPr>
      </w:pPr>
    </w:p>
    <w:p w14:paraId="3BBC3145" w14:textId="2B170173" w:rsidR="00C439A3" w:rsidRDefault="00C439A3">
      <w:pPr>
        <w:suppressAutoHyphens/>
        <w:jc w:val="center"/>
        <w:rPr>
          <w:spacing w:val="-3"/>
        </w:rPr>
      </w:pPr>
      <w:r>
        <w:rPr>
          <w:spacing w:val="-3"/>
        </w:rPr>
        <w:t xml:space="preserve">Hearing date: </w:t>
      </w:r>
      <w:r w:rsidR="003D274F">
        <w:rPr>
          <w:spacing w:val="-3"/>
        </w:rPr>
        <w:t>1</w:t>
      </w:r>
      <w:r w:rsidR="00E12D69">
        <w:rPr>
          <w:spacing w:val="-3"/>
        </w:rPr>
        <w:t>9</w:t>
      </w:r>
      <w:r w:rsidR="003D274F">
        <w:rPr>
          <w:spacing w:val="-3"/>
        </w:rPr>
        <w:t xml:space="preserve"> May 2026</w:t>
      </w:r>
    </w:p>
    <w:p w14:paraId="3DBAE687" w14:textId="77777777" w:rsidR="00C439A3" w:rsidRDefault="00C439A3">
      <w:pPr>
        <w:suppressAutoHyphens/>
        <w:jc w:val="center"/>
        <w:rPr>
          <w:spacing w:val="-3"/>
        </w:rPr>
      </w:pPr>
      <w:r>
        <w:rPr>
          <w:spacing w:val="-3"/>
        </w:rPr>
        <w:t>- - - - - - - - - - - - - - - - - - - - -</w:t>
      </w:r>
    </w:p>
    <w:p w14:paraId="462AA74D" w14:textId="359E8ADA" w:rsidR="00C439A3" w:rsidRDefault="00404B49" w:rsidP="00404B49">
      <w:pPr>
        <w:pStyle w:val="CoverDesc"/>
      </w:pPr>
      <w:r>
        <w:t>Approved Judgment</w:t>
      </w:r>
    </w:p>
    <w:p w14:paraId="2D0EBDC8" w14:textId="77777777" w:rsidR="00404B49" w:rsidRDefault="00404B49" w:rsidP="00404B49">
      <w:pPr>
        <w:jc w:val="center"/>
      </w:pPr>
      <w:r>
        <w:t xml:space="preserve"> </w:t>
      </w:r>
    </w:p>
    <w:p w14:paraId="181E1E05" w14:textId="1A6A09C7" w:rsidR="00404B49" w:rsidRDefault="00404B49" w:rsidP="00404B49">
      <w:pPr>
        <w:jc w:val="center"/>
      </w:pPr>
      <w:r>
        <w:t>This judgment was handed down remotely at 10.30am on Wednesday 24 June 2026 by circulation to the parties or their representatives by e-mail and by release to the National Archives.</w:t>
      </w:r>
    </w:p>
    <w:p w14:paraId="7F537BD3" w14:textId="77777777" w:rsidR="00404B49" w:rsidRDefault="00404B49" w:rsidP="00404B49">
      <w:pPr>
        <w:jc w:val="center"/>
      </w:pPr>
    </w:p>
    <w:p w14:paraId="7765B0FF" w14:textId="77777777" w:rsidR="00404B49" w:rsidRDefault="00404B49" w:rsidP="00404B49">
      <w:pPr>
        <w:jc w:val="center"/>
      </w:pPr>
      <w:r>
        <w:t>.............................</w:t>
      </w:r>
    </w:p>
    <w:p w14:paraId="53A7047F" w14:textId="40C241DE" w:rsidR="00404B49" w:rsidRPr="00404B49" w:rsidRDefault="00404B49" w:rsidP="00404B49">
      <w:pPr>
        <w:jc w:val="center"/>
      </w:pPr>
    </w:p>
    <w:p w14:paraId="6D612224" w14:textId="77777777" w:rsidR="00C439A3" w:rsidRDefault="00C439A3">
      <w:pPr>
        <w:pStyle w:val="CoverDesc"/>
        <w:rPr>
          <w:sz w:val="24"/>
        </w:rPr>
      </w:pPr>
    </w:p>
    <w:p w14:paraId="1F1F75FB" w14:textId="77777777" w:rsidR="006546BC" w:rsidRDefault="006546BC"/>
    <w:p w14:paraId="14FDD9FB" w14:textId="77777777" w:rsidR="006546BC" w:rsidRDefault="006546BC">
      <w:r>
        <w:t xml:space="preserve">WARNING: reporting restrictions may apply to the contents transcribed in this document, particularly if the case concerned a sexual offence or involved a child. Reporting restrictions prohibit the publication of the applicable information to the public or any section of the public, in writing, in a broadcast or by means of the internet, including social media. Anyone who receives a copy of this transcript is responsible in law for making sure that applicable </w:t>
      </w:r>
      <w:r>
        <w:lastRenderedPageBreak/>
        <w:t>restrictions are not breached. A person who breaches a reporting restriction is liable to a fine and/or imprisonment. For guidance on whether reporting restrictions apply, and to what information, ask at the court office or take legal advice.</w:t>
      </w:r>
    </w:p>
    <w:p w14:paraId="21F7E4B0" w14:textId="77777777" w:rsidR="00CF7D46" w:rsidRDefault="00CF7D46"/>
    <w:p w14:paraId="6B2A61FB" w14:textId="77777777" w:rsidR="00CF7D46" w:rsidRPr="001A27DA" w:rsidRDefault="00CF7D46" w:rsidP="00CF7D46">
      <w:pPr>
        <w:pStyle w:val="ParaLevel1"/>
        <w:numPr>
          <w:ilvl w:val="0"/>
          <w:numId w:val="0"/>
        </w:numPr>
        <w:ind w:left="720"/>
        <w:rPr>
          <w:color w:val="FF0000"/>
          <w:szCs w:val="24"/>
          <w:lang w:eastAsia="en-GB"/>
        </w:rPr>
      </w:pPr>
      <w:r w:rsidRPr="001A27DA">
        <w:rPr>
          <w:color w:val="FF0000"/>
        </w:rPr>
        <w:t>The Sexual Offences (Amendment) Act 1992 applies to the offences with which we are concerned in this case, and no matter relating to any person shall during that person's lifetime be included in any publication if it is likely to lead members of the public to identify them as the victim of any of the offences.</w:t>
      </w:r>
    </w:p>
    <w:p w14:paraId="3F86D96E" w14:textId="03D4FD7A" w:rsidR="00F50AFF" w:rsidRDefault="006546BC">
      <w:pPr>
        <w:sectPr w:rsidR="00F50AFF">
          <w:headerReference w:type="even" r:id="rId9"/>
          <w:headerReference w:type="default" r:id="rId10"/>
          <w:footerReference w:type="even" r:id="rId11"/>
          <w:footerReference w:type="default" r:id="rId12"/>
          <w:headerReference w:type="first" r:id="rId13"/>
          <w:footerReference w:type="first" r:id="rId14"/>
          <w:pgSz w:w="11909" w:h="16834" w:code="9"/>
          <w:pgMar w:top="720" w:right="1440" w:bottom="720" w:left="1440" w:header="720" w:footer="720" w:gutter="0"/>
          <w:pgNumType w:start="1"/>
          <w:cols w:space="720"/>
        </w:sectPr>
      </w:pPr>
      <w:r w:rsidRPr="006546BC">
        <w:rPr>
          <w:color w:val="FF0000"/>
        </w:rPr>
        <w:t>.</w:t>
      </w:r>
    </w:p>
    <w:p w14:paraId="0EC94E0B" w14:textId="77777777" w:rsidR="004327D1" w:rsidRDefault="00C66886" w:rsidP="004327D1">
      <w:pPr>
        <w:spacing w:after="240"/>
        <w:rPr>
          <w:b/>
        </w:rPr>
      </w:pPr>
      <w:r>
        <w:rPr>
          <w:b/>
        </w:rPr>
        <w:lastRenderedPageBreak/>
        <w:t>LORD JUSTI</w:t>
      </w:r>
      <w:r w:rsidR="00923F03">
        <w:rPr>
          <w:b/>
        </w:rPr>
        <w:t xml:space="preserve">CE JEREMY BAKER, </w:t>
      </w:r>
      <w:r w:rsidR="00D83C4F">
        <w:rPr>
          <w:b/>
        </w:rPr>
        <w:t>M</w:t>
      </w:r>
      <w:r w:rsidR="00105811">
        <w:rPr>
          <w:b/>
        </w:rPr>
        <w:t>R</w:t>
      </w:r>
      <w:r w:rsidR="00D83C4F">
        <w:rPr>
          <w:b/>
        </w:rPr>
        <w:t xml:space="preserve"> JUSTICE WALL</w:t>
      </w:r>
      <w:r w:rsidR="00923F03">
        <w:rPr>
          <w:b/>
        </w:rPr>
        <w:t xml:space="preserve"> and</w:t>
      </w:r>
      <w:r w:rsidR="004327D1">
        <w:rPr>
          <w:b/>
        </w:rPr>
        <w:t xml:space="preserve"> </w:t>
      </w:r>
    </w:p>
    <w:p w14:paraId="0D0FADD8" w14:textId="0E842946" w:rsidR="00C439A3" w:rsidRDefault="00923F03" w:rsidP="004327D1">
      <w:pPr>
        <w:spacing w:after="240"/>
      </w:pPr>
      <w:r>
        <w:rPr>
          <w:b/>
        </w:rPr>
        <w:t>MRS JUSTICE HILL</w:t>
      </w:r>
      <w:r w:rsidR="00C439A3">
        <w:rPr>
          <w:b/>
        </w:rPr>
        <w:t>:</w:t>
      </w:r>
      <w:r w:rsidR="00C439A3">
        <w:t xml:space="preserve"> </w:t>
      </w:r>
    </w:p>
    <w:p w14:paraId="10830A15" w14:textId="77777777" w:rsidR="00241C16" w:rsidRDefault="00241C16" w:rsidP="004327D1">
      <w:pPr>
        <w:spacing w:after="240"/>
      </w:pPr>
    </w:p>
    <w:p w14:paraId="33502269" w14:textId="1BF4861A" w:rsidR="00241C16" w:rsidRPr="004327D1" w:rsidRDefault="00241C16" w:rsidP="004327D1">
      <w:pPr>
        <w:spacing w:after="240"/>
        <w:rPr>
          <w:b/>
        </w:rPr>
        <w:sectPr w:rsidR="00241C16" w:rsidRPr="004327D1">
          <w:headerReference w:type="default" r:id="rId15"/>
          <w:footerReference w:type="default" r:id="rId16"/>
          <w:pgSz w:w="11906" w:h="16838" w:code="9"/>
          <w:pgMar w:top="1440" w:right="1440" w:bottom="1440" w:left="1440" w:header="709" w:footer="709" w:gutter="0"/>
          <w:cols w:space="708"/>
          <w:docGrid w:linePitch="360"/>
        </w:sectPr>
      </w:pPr>
    </w:p>
    <w:p w14:paraId="723AAB30" w14:textId="77777777" w:rsidR="006546BC" w:rsidRDefault="006546BC" w:rsidP="00404B49">
      <w:pPr>
        <w:pStyle w:val="ParaLevel1"/>
        <w:rPr>
          <w:szCs w:val="24"/>
          <w:lang w:eastAsia="en-GB"/>
        </w:rPr>
      </w:pPr>
      <w:r>
        <w:t>The Sexual Offences (Amendment) Act 1992 applies to the offences with which we are concerned in this case, and no matter relating to any person shall during that person's lifetime be included in any publication if it is likely to lead members of the public to identify them as the victim of any of the offences.</w:t>
      </w:r>
    </w:p>
    <w:p w14:paraId="036A13DA" w14:textId="77777777" w:rsidR="006546BC" w:rsidRPr="006546BC" w:rsidRDefault="006546BC" w:rsidP="00404B49">
      <w:pPr>
        <w:pStyle w:val="ParaLevel1"/>
      </w:pPr>
      <w:r w:rsidRPr="006546BC">
        <w:t xml:space="preserve">This appeal concerns the </w:t>
      </w:r>
      <w:r w:rsidRPr="00B650D0">
        <w:rPr>
          <w:i/>
          <w:iCs/>
        </w:rPr>
        <w:t>mens rea</w:t>
      </w:r>
      <w:r w:rsidRPr="006546BC">
        <w:t xml:space="preserve"> required to be proved by the prosecution in a case in which a defendant is alleged to be a secondary party to an offence of attempted rape.</w:t>
      </w:r>
    </w:p>
    <w:p w14:paraId="5F2568D7" w14:textId="7A173FDE" w:rsidR="006546BC" w:rsidRPr="006546BC" w:rsidRDefault="006546BC" w:rsidP="00404B49">
      <w:pPr>
        <w:pStyle w:val="ParaLevel1"/>
      </w:pPr>
      <w:r w:rsidRPr="006546BC">
        <w:t>Early in the morning of 17 August 2024, a man by the name of Dariush Hashemi (“Hashemi”) attempted to rape a woman we will refer to only as “LV”. LV was heavily inebriated and vulnerable. Urine tests conducted after the event s</w:t>
      </w:r>
      <w:r w:rsidR="001F4140">
        <w:t>uggested</w:t>
      </w:r>
      <w:r w:rsidRPr="006546BC">
        <w:t xml:space="preserve"> that she had</w:t>
      </w:r>
      <w:r w:rsidR="009C46CE">
        <w:t xml:space="preserve"> approximately</w:t>
      </w:r>
      <w:r w:rsidRPr="006546BC">
        <w:t xml:space="preserve"> tw</w:t>
      </w:r>
      <w:r w:rsidR="00604C06">
        <w:t>ice</w:t>
      </w:r>
      <w:r w:rsidRPr="006546BC">
        <w:t xml:space="preserve"> the amount of alcohol in her system than would allow her lawfully to drive a car. She had been in </w:t>
      </w:r>
      <w:r w:rsidR="00BF5214">
        <w:t>the appellant’s</w:t>
      </w:r>
      <w:r w:rsidRPr="006546BC">
        <w:t xml:space="preserve"> company</w:t>
      </w:r>
      <w:r w:rsidR="00FA4D86">
        <w:t xml:space="preserve"> earlier in the evening</w:t>
      </w:r>
      <w:r w:rsidR="009831D2">
        <w:t>, an</w:t>
      </w:r>
      <w:r w:rsidR="001F4140">
        <w:t>d ended up</w:t>
      </w:r>
      <w:r w:rsidR="00533B29">
        <w:t xml:space="preserve"> in a hotel car park in Wemble</w:t>
      </w:r>
      <w:r w:rsidR="00335563">
        <w:t>y</w:t>
      </w:r>
      <w:r w:rsidRPr="006546BC">
        <w:t xml:space="preserve">. </w:t>
      </w:r>
      <w:r w:rsidR="00335563">
        <w:t>Hash</w:t>
      </w:r>
      <w:r w:rsidR="00077AFB">
        <w:t xml:space="preserve">emi </w:t>
      </w:r>
      <w:r w:rsidRPr="006546BC">
        <w:t xml:space="preserve">arrived </w:t>
      </w:r>
      <w:r w:rsidR="00C56672">
        <w:t>in</w:t>
      </w:r>
      <w:r w:rsidRPr="006546BC">
        <w:t xml:space="preserve"> the same car park later that evening, as did a taxi driver, Gassan Ahmed, who witnessed events. Hashmi began to assault LV by touching her over her clothes. He then unfastened her shorts and put his fingers inside them. He pulled up LV’s top and touched her breasts. She tried to protect herself by pulling her top down but was unable to resist Hashemi’s actions. While this was happening, the appellant went up to Hashemi and asked him if he could watch. He then watched the assault for a time from a distance of about 3 metres. At one point he gestured towards Hashemi in an act of encouragement to him to digitally penetrate LV’s vagina. After a while Hashemi asked for the appellant’s help to pull down LV’s underwear and turn her from her front onto her back. Having helped in this way, the appellant slapped LV on her exposed buttocks. By this time, LV had lost consciousness. Hashemi then pulled down his own trousers and took out his erect penis. He lay on top of LV with his penis touching her bottom. At that stage, Mr Ahmed, the taxi driver, got out of his car and shouted to the appellant and Hashemi to stop what they were doing. The appellant told Mr Ahmed that they were not doing anything wrong. Hashemi threatened the taxi driver. Mr Ahmed flagged down passing police officers who found LV unconscious on the ground with her bottom and genitals exposed. She was so inebriated that it was hard to wake her up. </w:t>
      </w:r>
    </w:p>
    <w:p w14:paraId="17003649" w14:textId="77777777" w:rsidR="006546BC" w:rsidRPr="006546BC" w:rsidRDefault="006546BC" w:rsidP="00404B49">
      <w:pPr>
        <w:pStyle w:val="ParaLevel1"/>
      </w:pPr>
      <w:r w:rsidRPr="006546BC">
        <w:t xml:space="preserve">LV has never taken any part in this prosecution, refusing to make a witness statement. </w:t>
      </w:r>
    </w:p>
    <w:p w14:paraId="76B8BD28" w14:textId="77777777" w:rsidR="006546BC" w:rsidRPr="006546BC" w:rsidRDefault="006546BC" w:rsidP="00404B49">
      <w:pPr>
        <w:pStyle w:val="ParaLevel1"/>
      </w:pPr>
      <w:r w:rsidRPr="006546BC">
        <w:t>On his arrest later that night, Hashemi told the police that LV had suggested that he should “</w:t>
      </w:r>
      <w:r w:rsidRPr="00C56672">
        <w:rPr>
          <w:i/>
          <w:iCs/>
        </w:rPr>
        <w:t>play with her</w:t>
      </w:r>
      <w:r w:rsidRPr="006546BC">
        <w:t xml:space="preserve">” and he had done so. He sought to portray what had occurred as consensual. The appellant remained silent throughout the interview process. Neither man gave evidence at trial. </w:t>
      </w:r>
    </w:p>
    <w:p w14:paraId="61A05A4C" w14:textId="77777777" w:rsidR="006546BC" w:rsidRPr="006546BC" w:rsidRDefault="006546BC" w:rsidP="00404B49">
      <w:pPr>
        <w:pStyle w:val="ParaLevel1"/>
      </w:pPr>
      <w:r w:rsidRPr="006546BC">
        <w:t>Hashemi was convicted of attempted rape as the principal offender (count 1), sexual assault on LV by touching her body over her clothing (count 2), and sexual assault on LV by placing his hands inside her shorts (count 3). The appellant was convicted of attempted rape on the basis that he aided, abetted, and encouraged Hashemi (count 1), and sexual assault by slapping LV’s exposed buttocks (count 4). This appeal does not relate to the appellant’s conviction on count 4.</w:t>
      </w:r>
    </w:p>
    <w:p w14:paraId="40A28347" w14:textId="77777777" w:rsidR="006546BC" w:rsidRPr="006546BC" w:rsidRDefault="006546BC" w:rsidP="00404B49">
      <w:pPr>
        <w:pStyle w:val="ParaLevel1"/>
      </w:pPr>
      <w:r w:rsidRPr="006546BC">
        <w:lastRenderedPageBreak/>
        <w:t xml:space="preserve">At the conclusion of the evidence, the Judge provided written directions to the jury. Those directions included a series of questions for each offence which the jury were told to address (a route to verdict). Insofar as the offence of rape was concerned, the Judge directed the jury that they had first to decide whether they were sure that Hashemi had attempted to penetrate LV’s vagina or anus with his penis. If they were unsure of that, they were to acquit both Hashemi and the appellant. After then setting out a series of questions relating solely to Hashemi, the second question to be addressed in the appellant’s case was whether they were sure that he intentionally encouraged or assisted Hashemi to do so. If sure of that, the jury were next to consider whether they were sure that LV did not consent to penetration. Finally, if sure of that, they were to decide whether they were also sure that the appellant did not reasonably believe that LV consented to it. The Judge’s written legal directions as to the law mirrored the questions posed in the route to verdict. </w:t>
      </w:r>
    </w:p>
    <w:p w14:paraId="6790F0C1" w14:textId="77777777" w:rsidR="006546BC" w:rsidRPr="006546BC" w:rsidRDefault="006546BC" w:rsidP="00404B49">
      <w:pPr>
        <w:pStyle w:val="ParaLevel1"/>
      </w:pPr>
      <w:r w:rsidRPr="006546BC">
        <w:t xml:space="preserve">This appeal concerns the last two questions posed by the Judge in the route to verdict. The first ground of appeal is that the Judge “erred in law by directing the jury to the effect that the </w:t>
      </w:r>
      <w:r w:rsidRPr="006D2C5C">
        <w:rPr>
          <w:i/>
          <w:iCs/>
        </w:rPr>
        <w:t>mens rea</w:t>
      </w:r>
      <w:r w:rsidRPr="006546BC">
        <w:t xml:space="preserve"> of attempted rape was the same as the </w:t>
      </w:r>
      <w:r w:rsidRPr="006D2C5C">
        <w:rPr>
          <w:i/>
          <w:iCs/>
        </w:rPr>
        <w:t>mens rea</w:t>
      </w:r>
      <w:r w:rsidRPr="006546BC">
        <w:t xml:space="preserve"> of rape”. The second, that “the Judge erred in law by directing the jury to the effect that, in respect of an accessory to rape, the </w:t>
      </w:r>
      <w:r w:rsidRPr="005B4605">
        <w:rPr>
          <w:i/>
          <w:iCs/>
        </w:rPr>
        <w:t>mens rea</w:t>
      </w:r>
      <w:r w:rsidRPr="006546BC">
        <w:t xml:space="preserve"> was the same as the </w:t>
      </w:r>
      <w:r w:rsidRPr="005B4605">
        <w:rPr>
          <w:i/>
          <w:iCs/>
        </w:rPr>
        <w:t>mens rea</w:t>
      </w:r>
      <w:r w:rsidRPr="006546BC">
        <w:t xml:space="preserve"> of rape”. </w:t>
      </w:r>
    </w:p>
    <w:p w14:paraId="7B21E388" w14:textId="77777777" w:rsidR="006546BC" w:rsidRPr="006546BC" w:rsidRDefault="006546BC" w:rsidP="00404B49">
      <w:pPr>
        <w:pStyle w:val="ParaHeading"/>
        <w:rPr>
          <w:b/>
          <w:bCs/>
        </w:rPr>
      </w:pPr>
      <w:r w:rsidRPr="006546BC">
        <w:rPr>
          <w:b/>
          <w:bCs/>
        </w:rPr>
        <w:t>Ground 1</w:t>
      </w:r>
    </w:p>
    <w:p w14:paraId="787DFA31" w14:textId="77777777" w:rsidR="006546BC" w:rsidRPr="006546BC" w:rsidRDefault="006546BC" w:rsidP="00404B49">
      <w:pPr>
        <w:pStyle w:val="ParaLevel1"/>
      </w:pPr>
      <w:r w:rsidRPr="006546BC">
        <w:t>The offence of rape is defined in s1(1) Sexual Offences Act 2003:</w:t>
      </w:r>
    </w:p>
    <w:p w14:paraId="1A9187CE" w14:textId="21B15133" w:rsidR="006546BC" w:rsidRPr="00A830AD" w:rsidRDefault="006546BC" w:rsidP="00404B49">
      <w:pPr>
        <w:pStyle w:val="Quote"/>
        <w:numPr>
          <w:ilvl w:val="0"/>
          <w:numId w:val="16"/>
        </w:numPr>
        <w:rPr>
          <w:i/>
          <w:iCs/>
        </w:rPr>
      </w:pPr>
      <w:r w:rsidRPr="00A830AD">
        <w:rPr>
          <w:i/>
          <w:iCs/>
        </w:rPr>
        <w:t xml:space="preserve">“A person (A) commits an offence if – </w:t>
      </w:r>
    </w:p>
    <w:p w14:paraId="5C13973E" w14:textId="7905AD24" w:rsidR="006546BC" w:rsidRPr="00A830AD" w:rsidRDefault="00A830AD" w:rsidP="00404B49">
      <w:pPr>
        <w:pStyle w:val="Quote"/>
        <w:rPr>
          <w:i/>
          <w:iCs/>
        </w:rPr>
      </w:pPr>
      <w:r w:rsidRPr="00A830AD">
        <w:rPr>
          <w:i/>
          <w:iCs/>
        </w:rPr>
        <w:t xml:space="preserve">(a) </w:t>
      </w:r>
      <w:r w:rsidR="006546BC" w:rsidRPr="00A830AD">
        <w:rPr>
          <w:i/>
          <w:iCs/>
        </w:rPr>
        <w:t>He intentionally penetrates the Vagina, anus or mouth of another person (B) with his penis,</w:t>
      </w:r>
    </w:p>
    <w:p w14:paraId="769E0235" w14:textId="69D1BEC7" w:rsidR="006546BC" w:rsidRPr="00A830AD" w:rsidRDefault="00A830AD" w:rsidP="00404B49">
      <w:pPr>
        <w:pStyle w:val="Quote"/>
        <w:rPr>
          <w:i/>
          <w:iCs/>
        </w:rPr>
      </w:pPr>
      <w:r w:rsidRPr="00A830AD">
        <w:rPr>
          <w:i/>
          <w:iCs/>
        </w:rPr>
        <w:t xml:space="preserve">(b) </w:t>
      </w:r>
      <w:r w:rsidR="006546BC" w:rsidRPr="00A830AD">
        <w:rPr>
          <w:i/>
          <w:iCs/>
        </w:rPr>
        <w:t>B does not consent to the penetration, and</w:t>
      </w:r>
    </w:p>
    <w:p w14:paraId="26C79F8B" w14:textId="6E1A803C" w:rsidR="006546BC" w:rsidRPr="006546BC" w:rsidRDefault="00A830AD" w:rsidP="00404B49">
      <w:pPr>
        <w:pStyle w:val="Quote"/>
      </w:pPr>
      <w:r w:rsidRPr="00A830AD">
        <w:rPr>
          <w:i/>
          <w:iCs/>
        </w:rPr>
        <w:t xml:space="preserve">(c) </w:t>
      </w:r>
      <w:r w:rsidR="006546BC" w:rsidRPr="00A830AD">
        <w:rPr>
          <w:i/>
          <w:iCs/>
        </w:rPr>
        <w:t>A does not reasonably believe that B consents”.</w:t>
      </w:r>
    </w:p>
    <w:p w14:paraId="69BEC81F" w14:textId="77777777" w:rsidR="006546BC" w:rsidRPr="006546BC" w:rsidRDefault="006546BC" w:rsidP="00404B49">
      <w:pPr>
        <w:pStyle w:val="ParaLevel1"/>
      </w:pPr>
      <w:r w:rsidRPr="006546BC">
        <w:t>Thus, in order to prove the completed offence of rape, the prosecution must prove an act of penetration in circumstances where there is no consent to the penetration on the part of the person being penetrated, and no reasonable belief on the part of the person penetrating that the other person consents to it.</w:t>
      </w:r>
    </w:p>
    <w:p w14:paraId="228D988D" w14:textId="77777777" w:rsidR="006546BC" w:rsidRPr="006546BC" w:rsidRDefault="006546BC" w:rsidP="00404B49">
      <w:pPr>
        <w:pStyle w:val="ParaLevel1"/>
      </w:pPr>
      <w:r w:rsidRPr="006546BC">
        <w:t>The offence of attempted rape is created by s1(1) Criminal Attempts Act 1981:</w:t>
      </w:r>
    </w:p>
    <w:p w14:paraId="0E877E1E" w14:textId="2C7F623B" w:rsidR="006546BC" w:rsidRPr="005B4605" w:rsidRDefault="006546BC" w:rsidP="00404B49">
      <w:pPr>
        <w:pStyle w:val="Quote"/>
      </w:pPr>
      <w:r w:rsidRPr="00A830AD">
        <w:rPr>
          <w:i/>
          <w:iCs/>
        </w:rPr>
        <w:t>“If, with intent to commit an offence to which this section applies, a person does an act which is more than preparatory to the Commission of the offence, he is guilty of attempting to commit the offence.</w:t>
      </w:r>
      <w:r w:rsidR="005B4605">
        <w:t>”</w:t>
      </w:r>
    </w:p>
    <w:p w14:paraId="6F429726" w14:textId="77777777" w:rsidR="006546BC" w:rsidRPr="006546BC" w:rsidRDefault="006546BC" w:rsidP="00404B49">
      <w:pPr>
        <w:pStyle w:val="ParaLevel1"/>
      </w:pPr>
      <w:r w:rsidRPr="006546BC">
        <w:t>There is no doubt that, to prove attempted rape, the prosecution must establish that the alleged offender did something which was more than merely preparatory to the commission of that offence. They must also prove that this act was done “</w:t>
      </w:r>
      <w:r w:rsidRPr="006546BC">
        <w:rPr>
          <w:i/>
          <w:iCs/>
        </w:rPr>
        <w:t>with intent to commit</w:t>
      </w:r>
      <w:r w:rsidRPr="006546BC">
        <w:t xml:space="preserve">” that offence. The issue raised in this appeal is as to the correct interpretation of that duty. </w:t>
      </w:r>
    </w:p>
    <w:p w14:paraId="63DC64EC" w14:textId="77777777" w:rsidR="006546BC" w:rsidRPr="006546BC" w:rsidRDefault="006546BC" w:rsidP="00404B49">
      <w:pPr>
        <w:pStyle w:val="ParaLevel1"/>
      </w:pPr>
      <w:r w:rsidRPr="006546BC">
        <w:lastRenderedPageBreak/>
        <w:t xml:space="preserve">The appellant submits that this imposes on the prosecution a duty to prove intent with respect to each element of the crime charged. Therefore, on a charge of attempted rape, the prosecution must establish both that the appellant intended to penetrate the victim and an intention that the victim would not be consenting to that penetration. </w:t>
      </w:r>
    </w:p>
    <w:p w14:paraId="5FA66171" w14:textId="5A8B1F90" w:rsidR="006546BC" w:rsidRPr="006546BC" w:rsidRDefault="006546BC" w:rsidP="00404B49">
      <w:pPr>
        <w:pStyle w:val="ParaLevel1"/>
      </w:pPr>
      <w:r w:rsidRPr="006546BC">
        <w:t xml:space="preserve">The respondent submits that this is not required of them. They rely on </w:t>
      </w:r>
      <w:r w:rsidRPr="006546BC">
        <w:rPr>
          <w:i/>
          <w:iCs/>
        </w:rPr>
        <w:t>R -v- Khan [1990] 2 All ER 783</w:t>
      </w:r>
      <w:r w:rsidRPr="006546BC">
        <w:t xml:space="preserve"> as establishing that the duty to prove an “</w:t>
      </w:r>
      <w:r w:rsidRPr="006546BC">
        <w:rPr>
          <w:i/>
          <w:iCs/>
        </w:rPr>
        <w:t>intent to commit</w:t>
      </w:r>
      <w:r w:rsidRPr="006546BC">
        <w:t xml:space="preserve">” the crime only requires them to prove an intent to penetrate in circumstances where there is no consent to the penetration on the part of the person being penetrated, and no reasonable belief on the part of the person penetrating that the other person consents to it. They submit that s1(1) </w:t>
      </w:r>
      <w:r w:rsidR="00B26956">
        <w:t xml:space="preserve">of the </w:t>
      </w:r>
      <w:r w:rsidRPr="006546BC">
        <w:t>Criminal Attempts Act 1981 should not be read to impose on the prosecution a duty to prove an intent which they would not have been required to prove had they been prosecuting the appellant for the full offence of rape – that is, an intention that the victim did not consent.</w:t>
      </w:r>
    </w:p>
    <w:p w14:paraId="3006A0F5" w14:textId="77777777" w:rsidR="006546BC" w:rsidRPr="006546BC" w:rsidRDefault="006546BC" w:rsidP="00404B49">
      <w:pPr>
        <w:pStyle w:val="ParaLevel1"/>
      </w:pPr>
      <w:r w:rsidRPr="006546BC">
        <w:rPr>
          <w:i/>
          <w:iCs/>
        </w:rPr>
        <w:t>Khan</w:t>
      </w:r>
      <w:r w:rsidRPr="006546BC">
        <w:t xml:space="preserve"> was decided before the Sexual Offences Act 2003 was enacted. The offence of rape was at that time defined in s1 Sexual Offences Act 1956 as amended by s1(1) Sexual Offences (Amendment) Act 1976 in the following way: </w:t>
      </w:r>
    </w:p>
    <w:p w14:paraId="4E66DCB9" w14:textId="77777777" w:rsidR="006546BC" w:rsidRPr="00A830AD" w:rsidRDefault="006546BC" w:rsidP="00404B49">
      <w:pPr>
        <w:pStyle w:val="Quote"/>
        <w:rPr>
          <w:i/>
          <w:iCs/>
        </w:rPr>
      </w:pPr>
      <w:r w:rsidRPr="00A830AD">
        <w:rPr>
          <w:i/>
          <w:iCs/>
        </w:rPr>
        <w:t>“A man commits rape if –</w:t>
      </w:r>
    </w:p>
    <w:p w14:paraId="5B2E74A1" w14:textId="77777777" w:rsidR="006546BC" w:rsidRPr="00A830AD" w:rsidRDefault="006546BC" w:rsidP="00404B49">
      <w:pPr>
        <w:pStyle w:val="Quote"/>
        <w:rPr>
          <w:i/>
          <w:iCs/>
        </w:rPr>
      </w:pPr>
      <w:r w:rsidRPr="00A830AD">
        <w:rPr>
          <w:i/>
          <w:iCs/>
        </w:rPr>
        <w:t>he has unlawful sexual intercourse with a woman who at the time of the intercourse does not consent to it; and</w:t>
      </w:r>
    </w:p>
    <w:p w14:paraId="203D3303" w14:textId="77777777" w:rsidR="006546BC" w:rsidRPr="00A830AD" w:rsidRDefault="006546BC" w:rsidP="00404B49">
      <w:pPr>
        <w:pStyle w:val="Quote"/>
        <w:rPr>
          <w:i/>
          <w:iCs/>
        </w:rPr>
      </w:pPr>
      <w:r w:rsidRPr="00A830AD">
        <w:rPr>
          <w:i/>
          <w:iCs/>
        </w:rPr>
        <w:t>at that time he knows that she does not consent to the intercourse or he is reckless as to whether she consents to it.”</w:t>
      </w:r>
    </w:p>
    <w:p w14:paraId="6DCB8AA6" w14:textId="3F81682E" w:rsidR="006546BC" w:rsidRPr="006546BC" w:rsidRDefault="006546BC" w:rsidP="00404B49">
      <w:pPr>
        <w:pStyle w:val="ParaLevel1"/>
      </w:pPr>
      <w:r w:rsidRPr="006546BC">
        <w:t xml:space="preserve"> In </w:t>
      </w:r>
      <w:r w:rsidRPr="006546BC">
        <w:rPr>
          <w:i/>
          <w:iCs/>
        </w:rPr>
        <w:t>Khan,</w:t>
      </w:r>
      <w:r w:rsidRPr="006546BC">
        <w:t xml:space="preserve"> six young men tried to have sexual intercourse with a young girl. Three of them succeeded in doing so and were indicted for rape while three </w:t>
      </w:r>
      <w:r w:rsidR="00A81A0B">
        <w:t>attempted to do so.</w:t>
      </w:r>
      <w:r w:rsidRPr="006546BC">
        <w:t xml:space="preserve"> Th</w:t>
      </w:r>
      <w:r w:rsidR="00A81A0B">
        <w:t>ose three</w:t>
      </w:r>
      <w:r w:rsidRPr="006546BC">
        <w:t xml:space="preserve"> were charged with attempted rape. The trial judge directed the jury in the following terms: “</w:t>
      </w:r>
      <w:r w:rsidRPr="006546BC">
        <w:rPr>
          <w:i/>
          <w:iCs/>
        </w:rPr>
        <w:t>the question for you... is as to whether the defendant in question did more than merely prepare to commit the crime, but took a positive step that led directly to advance his objective.... As in the case of rape, the principles relevant to consent apply in exactly the same way in attempted rape”.</w:t>
      </w:r>
      <w:r w:rsidRPr="006546BC">
        <w:t xml:space="preserve"> He had earlier directed the jury that these were, first, that the complainant did not in fact consent, and</w:t>
      </w:r>
      <w:r w:rsidR="003227FE">
        <w:t xml:space="preserve"> </w:t>
      </w:r>
      <w:r w:rsidRPr="006546BC">
        <w:t xml:space="preserve">second, whether the defendant in question knew or was reckless as to whether the complainant was consenting. The ground of appeal in that case, as in the case in hand, was whether on a trial for attempted rape, the effect of s1(1) Criminal Attempts Act 1981 was that the prosecution had to prove that the alleged offender intended that the victim should not be consenting to the rape or simply had to be prove that the offender was in the same state of mind as would have to be established on a trial for the full offence of rape. That is, whether under the law then in force, it was enough to show that the defendant was reckless as to her consent when he attempted to penetrate the victim. </w:t>
      </w:r>
    </w:p>
    <w:p w14:paraId="03560F1F" w14:textId="77777777" w:rsidR="006546BC" w:rsidRPr="006546BC" w:rsidRDefault="006546BC" w:rsidP="00404B49">
      <w:pPr>
        <w:pStyle w:val="ParaLevel1"/>
      </w:pPr>
      <w:r w:rsidRPr="006546BC">
        <w:t xml:space="preserve">Russell LJ reached the following conclusion: </w:t>
      </w:r>
    </w:p>
    <w:p w14:paraId="5E726914" w14:textId="77777777" w:rsidR="006546BC" w:rsidRPr="00A830AD" w:rsidRDefault="006546BC" w:rsidP="00404B49">
      <w:pPr>
        <w:pStyle w:val="Quote"/>
        <w:rPr>
          <w:i/>
          <w:iCs/>
        </w:rPr>
      </w:pPr>
      <w:r w:rsidRPr="00A830AD">
        <w:rPr>
          <w:i/>
          <w:iCs/>
        </w:rPr>
        <w:t xml:space="preserve">“In our judgement an acceptable analysis of the offence of rape is as follows: (1) the intention of the offender is to have sexual intercourse with a woman; (2) the offence is committed if, but only if the circumstances are that (a) the woman does not </w:t>
      </w:r>
      <w:r w:rsidRPr="00A830AD">
        <w:rPr>
          <w:i/>
          <w:iCs/>
        </w:rPr>
        <w:lastRenderedPageBreak/>
        <w:t>consent, and (b) the defendant knows that she is not consenting or is reckless as to whether she consents.</w:t>
      </w:r>
    </w:p>
    <w:p w14:paraId="66360512" w14:textId="77777777" w:rsidR="006546BC" w:rsidRPr="00A830AD" w:rsidRDefault="006546BC" w:rsidP="00404B49">
      <w:pPr>
        <w:pStyle w:val="Quote"/>
        <w:rPr>
          <w:i/>
          <w:iCs/>
        </w:rPr>
      </w:pPr>
      <w:r w:rsidRPr="00A830AD">
        <w:rPr>
          <w:i/>
          <w:iCs/>
        </w:rPr>
        <w:t>Precisely the same analysis can be made of the offence of attempted rape: (1) the intention of the offender is to have sexual intercourse with a woman; (2) the offence is committed if, but only if, the circumstances are that (a) the woman does not consent, and (b) the defendant knows that she is not consenting or is reckless as to whether she consents.</w:t>
      </w:r>
    </w:p>
    <w:p w14:paraId="416D7774" w14:textId="68EF4B27" w:rsidR="006546BC" w:rsidRPr="00BC486F" w:rsidRDefault="006546BC" w:rsidP="00404B49">
      <w:pPr>
        <w:pStyle w:val="Quote"/>
      </w:pPr>
      <w:r w:rsidRPr="00A830AD">
        <w:rPr>
          <w:i/>
          <w:iCs/>
        </w:rPr>
        <w:t>The only difference between the two offences is that in rape sexual intercourse takes place whereas in attempted rape it does not, although there has to be some act which is more than preparatory to sexual intercourse. Considered in that way, the intent of the defendant is precisely the same in rape and in attempted rape and the mens rea is identical, namely an intention to have intercourse plus a knowledge of or recklessness as to the woman's absence of consent. No question of attempting to achieve a reckless state of mind arises; the attempt relates to the physical activity; the mental state of the defendant is the same. A man does not recklessly have sexual intercourse, nor does he recklessly attempt it. Recklessness in rape and attempted rape arises not in relation to the physical act of the accused but only in his state of mind when engaged in the activity of having or attempting to have sexual intercourse.</w:t>
      </w:r>
      <w:r w:rsidR="00BC486F">
        <w:t>”</w:t>
      </w:r>
    </w:p>
    <w:p w14:paraId="46F9C700" w14:textId="77777777" w:rsidR="00A830AD" w:rsidRDefault="006546BC" w:rsidP="00404B49">
      <w:pPr>
        <w:pStyle w:val="ListParagraph"/>
        <w:ind w:left="567"/>
        <w:rPr>
          <w:rFonts w:ascii="Times New Roman" w:hAnsi="Times New Roman"/>
        </w:rPr>
      </w:pPr>
      <w:r w:rsidRPr="006546BC">
        <w:rPr>
          <w:rFonts w:ascii="Times New Roman" w:hAnsi="Times New Roman"/>
        </w:rPr>
        <w:t xml:space="preserve">Later, </w:t>
      </w:r>
    </w:p>
    <w:p w14:paraId="6ABA6CFC" w14:textId="6D288817" w:rsidR="006546BC" w:rsidRPr="00A830AD" w:rsidRDefault="006546BC" w:rsidP="00404B49">
      <w:pPr>
        <w:pStyle w:val="Quote"/>
        <w:rPr>
          <w:i/>
          <w:iCs/>
        </w:rPr>
      </w:pPr>
      <w:r w:rsidRPr="00A830AD">
        <w:rPr>
          <w:i/>
          <w:iCs/>
        </w:rPr>
        <w:t>“In our judgement, however, the words “with intent to commit an offence” to be found in s1 of the 1981 Act mean, when applied to rape, “with intent to have sexual intercourse with a woman in circumstances where she does not consent and the defendant knows or could not care less about her absence of consent”. The only intent, giving that word it's natural and ordinary meaning, of the rapist is to have sexual intercourse”.</w:t>
      </w:r>
    </w:p>
    <w:p w14:paraId="0274564E" w14:textId="11473F99" w:rsidR="006546BC" w:rsidRPr="006546BC" w:rsidRDefault="006546BC" w:rsidP="00404B49">
      <w:pPr>
        <w:pStyle w:val="ParaLevel1"/>
      </w:pPr>
      <w:r w:rsidRPr="006546BC">
        <w:t xml:space="preserve">We have considered whether the change in the law of rape between the time at which </w:t>
      </w:r>
      <w:r w:rsidRPr="006546BC">
        <w:rPr>
          <w:i/>
          <w:iCs/>
        </w:rPr>
        <w:t>Khan</w:t>
      </w:r>
      <w:r w:rsidRPr="006546BC">
        <w:t xml:space="preserve"> was decided and the time at which this case was heard brought about by the repeal of the Sexual Offences Act 1956 and the enactment of the Sexual Offences Act 2003 has any impact on the ratio of that case. We have concluded that it does not. Although differently defined, the offence of rape is defined now</w:t>
      </w:r>
      <w:r w:rsidR="00AC2E88">
        <w:t>,</w:t>
      </w:r>
      <w:r w:rsidRPr="006546BC">
        <w:t xml:space="preserve"> as it was then</w:t>
      </w:r>
      <w:r w:rsidR="006E2A7C">
        <w:t>,</w:t>
      </w:r>
      <w:r w:rsidRPr="006546BC">
        <w:t xml:space="preserve"> by an act of penetration when particular circumstances applied. The essential changes in the law of rape since </w:t>
      </w:r>
      <w:r w:rsidRPr="006546BC">
        <w:rPr>
          <w:i/>
          <w:iCs/>
        </w:rPr>
        <w:t>Khan</w:t>
      </w:r>
      <w:r w:rsidRPr="006546BC">
        <w:t xml:space="preserve"> are (a) that a man can now be the victim of a rape whereas previously only a woman could be the victim of such crime, (b) the penetration can now be oral or anal as well as vaginal, and (c) the requirement to prove knowledge or recklessness as to consent has been replaced by one where the prosecution must prove that a defendant did not reasonably believe that the complainant was consenting. Although significant in other ways, these changes do not have an impact on the </w:t>
      </w:r>
      <w:r w:rsidRPr="00B623DA">
        <w:rPr>
          <w:i/>
          <w:iCs/>
        </w:rPr>
        <w:t>ratio</w:t>
      </w:r>
      <w:r w:rsidRPr="006546BC">
        <w:t xml:space="preserve"> of </w:t>
      </w:r>
      <w:r w:rsidRPr="006546BC">
        <w:rPr>
          <w:i/>
          <w:iCs/>
        </w:rPr>
        <w:t>Khan</w:t>
      </w:r>
      <w:r w:rsidRPr="006546BC">
        <w:t xml:space="preserve">. Rape is defined now as it was then in terms of an act of penetration in circumstances in which there is no consent and the penetrator has a relevant state of mind in relation to the lack of consent. Neither the extension to the ways in which relevant penetration can occur, nor the amended </w:t>
      </w:r>
      <w:r w:rsidRPr="00042B77">
        <w:rPr>
          <w:i/>
          <w:iCs/>
        </w:rPr>
        <w:t>mens rea</w:t>
      </w:r>
      <w:r w:rsidRPr="006546BC">
        <w:t xml:space="preserve"> cast doubt on the reasoning in </w:t>
      </w:r>
      <w:r w:rsidRPr="006546BC">
        <w:rPr>
          <w:i/>
          <w:iCs/>
        </w:rPr>
        <w:t>Khan</w:t>
      </w:r>
      <w:r w:rsidRPr="006546BC">
        <w:t>.</w:t>
      </w:r>
    </w:p>
    <w:p w14:paraId="79CD1627" w14:textId="77777777" w:rsidR="00B949F3" w:rsidRPr="00B949F3" w:rsidRDefault="006546BC" w:rsidP="00404B49">
      <w:pPr>
        <w:pStyle w:val="ParaLevel1"/>
      </w:pPr>
      <w:r w:rsidRPr="006546BC">
        <w:rPr>
          <w:i/>
          <w:iCs/>
        </w:rPr>
        <w:lastRenderedPageBreak/>
        <w:t>Khan</w:t>
      </w:r>
      <w:r w:rsidRPr="006546BC">
        <w:t xml:space="preserve"> has been approved in </w:t>
      </w:r>
      <w:r w:rsidRPr="006546BC">
        <w:rPr>
          <w:i/>
          <w:iCs/>
        </w:rPr>
        <w:t>Attorney-General’s Reference (No 3 of 1992) [1994] All ER 121</w:t>
      </w:r>
      <w:r w:rsidRPr="006546BC">
        <w:t>, a case dealing with the intention to be proved in a case of attempted criminal damage reckless as to the endangerment of life. In the course of his judgment, Schiemann J said</w:t>
      </w:r>
      <w:r w:rsidRPr="006546BC">
        <w:rPr>
          <w:i/>
          <w:iCs/>
        </w:rPr>
        <w:t xml:space="preserve">, </w:t>
      </w:r>
    </w:p>
    <w:p w14:paraId="0AFA2C7A" w14:textId="3A0C029D" w:rsidR="006546BC" w:rsidRPr="00B949F3" w:rsidRDefault="006546BC" w:rsidP="00404B49">
      <w:pPr>
        <w:pStyle w:val="Quote"/>
        <w:rPr>
          <w:i/>
          <w:iCs/>
        </w:rPr>
      </w:pPr>
      <w:r w:rsidRPr="00B949F3">
        <w:rPr>
          <w:i/>
          <w:iCs/>
        </w:rPr>
        <w:t>“An attempt was made in argument to suggest that Khan was wrongly decided. No policy reasons were advanced for that view and we do not share it. The result is one which accords with common sense, and does no violence to the words of the statute … Thus, in Khan the prosecution had to show an intention to have sexual intercourse, and the remaining state of mind required for the offence of rape. In the present case, the prosecution had to show an intention to damage the … property, and the remaining state of mind required for the offence of aggravated arson.”</w:t>
      </w:r>
    </w:p>
    <w:p w14:paraId="3210305F" w14:textId="752C05F2" w:rsidR="006546BC" w:rsidRPr="006546BC" w:rsidRDefault="006546BC" w:rsidP="00404B49">
      <w:pPr>
        <w:pStyle w:val="ParaLevel1"/>
      </w:pPr>
      <w:r w:rsidRPr="006546BC">
        <w:t xml:space="preserve">The appellant has placed reliance on the judgment of Davis LJ in </w:t>
      </w:r>
      <w:r w:rsidRPr="006546BC">
        <w:rPr>
          <w:i/>
          <w:iCs/>
        </w:rPr>
        <w:t xml:space="preserve">R -v- Page and Rogers [2014] EWCA Crim 186. </w:t>
      </w:r>
      <w:r w:rsidRPr="006546BC">
        <w:t xml:space="preserve">He submits that the reasoning in that case casts doubt on the correctness of the decision in </w:t>
      </w:r>
      <w:r w:rsidRPr="006546BC">
        <w:rPr>
          <w:i/>
          <w:iCs/>
        </w:rPr>
        <w:t xml:space="preserve">Khan. </w:t>
      </w:r>
      <w:r w:rsidRPr="006546BC">
        <w:t>That was a case concerning an offence of attempting to conceal, disguise or convert criminal property (s327 Proceeds of Crime Act 2002). In order to establish the full offence, the prosecution would have had to prove that the property being dealt in by the appellants was criminal property, that is, property representing the benefit of crime, and that the appellants suspected as much. That they could not do. The property the appellants were trying to convert was, unknown to them, property owned by the police and therefore not criminal property at all. Thus, the appellants could never ha</w:t>
      </w:r>
      <w:r w:rsidR="00EF1246">
        <w:t>ve</w:t>
      </w:r>
      <w:r w:rsidRPr="006546BC">
        <w:t xml:space="preserve"> been guilty of the full offence, no matter how hard they tried to commit it. That is unlike the case under consideration in which, had he not been stopped, the principal could have penetrated the complainant and thereby raped her. The trial judge directed the jury that they should convict Page and Rogers if they were sure that the appellants tried to convert the goods while suspecting</w:t>
      </w:r>
      <w:r w:rsidRPr="006546BC">
        <w:rPr>
          <w:color w:val="FF0000"/>
        </w:rPr>
        <w:t xml:space="preserve"> </w:t>
      </w:r>
      <w:r w:rsidRPr="006546BC">
        <w:t xml:space="preserve">that the goods were criminal property. Davis LJ, in allowing the appeal, held that in those circumstances, </w:t>
      </w:r>
      <w:r w:rsidRPr="00126E3F">
        <w:rPr>
          <w:i/>
          <w:iCs/>
        </w:rPr>
        <w:t>“a</w:t>
      </w:r>
      <w:r w:rsidRPr="006546BC">
        <w:rPr>
          <w:i/>
          <w:iCs/>
        </w:rPr>
        <w:t>n intent to commit the offence involves … an intent to convert criminal property: and that connotes an intent that the property should be criminal property”.</w:t>
      </w:r>
      <w:r w:rsidRPr="006546BC">
        <w:t xml:space="preserve"> </w:t>
      </w:r>
    </w:p>
    <w:p w14:paraId="090AD703" w14:textId="77777777" w:rsidR="006546BC" w:rsidRPr="006546BC" w:rsidRDefault="006546BC" w:rsidP="00404B49">
      <w:pPr>
        <w:pStyle w:val="ParaLevel1"/>
      </w:pPr>
      <w:r w:rsidRPr="006546BC">
        <w:t>The appellant in this case submits that the same approach should be applied here. The equivalent requirement to a suspicion that the goods were stolen in the conversion offence is,</w:t>
      </w:r>
      <w:r w:rsidRPr="006546BC">
        <w:rPr>
          <w:color w:val="FF0000"/>
        </w:rPr>
        <w:t xml:space="preserve"> </w:t>
      </w:r>
      <w:r w:rsidRPr="006546BC">
        <w:t xml:space="preserve">for an offence of attempted rape, an intention that the victim should not be consenting. That is the way in which the jury should have been directed. </w:t>
      </w:r>
    </w:p>
    <w:p w14:paraId="6677A196" w14:textId="77777777" w:rsidR="006546BC" w:rsidRPr="006546BC" w:rsidRDefault="006546BC" w:rsidP="00404B49">
      <w:pPr>
        <w:pStyle w:val="ParaLevel1"/>
      </w:pPr>
      <w:r w:rsidRPr="006546BC">
        <w:t>However, in the course of his judgment, Davis LJ addressed the different legal framework between the offence of attempted rape and attempt to conceal, disguise or convert criminal property: “</w:t>
      </w:r>
      <w:r w:rsidRPr="006546BC">
        <w:rPr>
          <w:i/>
          <w:iCs/>
        </w:rPr>
        <w:t>In Khan … the appellants were charged with attempted rape solely because they had not succeeded in penetrating the victim, which is what they had intended to do. Had they succeeded in that act, as they had intended, the full offence of rape would have been made out. But that is not so in the present case. The two appellants here could never have been guilty of the substantive offence of converting criminal property: just because the property in question did not constitute or represent benefit from criminal conduct”.</w:t>
      </w:r>
      <w:r w:rsidRPr="006546BC">
        <w:t xml:space="preserve"> Having given this explanation, he did not cast doubt on the correctness of the decision in </w:t>
      </w:r>
      <w:r w:rsidRPr="006546BC">
        <w:rPr>
          <w:i/>
          <w:iCs/>
        </w:rPr>
        <w:t xml:space="preserve">Khan </w:t>
      </w:r>
      <w:r w:rsidRPr="006546BC">
        <w:t xml:space="preserve">or suggest that, since the </w:t>
      </w:r>
      <w:r w:rsidRPr="006546BC">
        <w:lastRenderedPageBreak/>
        <w:t xml:space="preserve">introduction of the 2003 Act’s altered definition of rape, it should no longer be followed in cases of attempted rape. </w:t>
      </w:r>
    </w:p>
    <w:p w14:paraId="1D565758" w14:textId="77777777" w:rsidR="006546BC" w:rsidRPr="006546BC" w:rsidRDefault="006546BC" w:rsidP="00404B49">
      <w:pPr>
        <w:pStyle w:val="ParaLevel1"/>
      </w:pPr>
      <w:r w:rsidRPr="006546BC">
        <w:t xml:space="preserve">Having reached the conclusion that the decision of an earlier constitution of this court in </w:t>
      </w:r>
      <w:r w:rsidRPr="006546BC">
        <w:rPr>
          <w:i/>
          <w:iCs/>
        </w:rPr>
        <w:t xml:space="preserve">Khan </w:t>
      </w:r>
      <w:r w:rsidRPr="006546BC">
        <w:t>was on point, this court would normally consider itself bound to follow it. The Court of Appeal Criminal Division ordinarily follow its own previous decisions in the interests of legal certainty and consistency. In accordance with the well</w:t>
      </w:r>
      <w:r w:rsidRPr="006546BC">
        <w:noBreakHyphen/>
        <w:t xml:space="preserve">established approach explained in </w:t>
      </w:r>
      <w:r w:rsidRPr="006546BC">
        <w:rPr>
          <w:i/>
          <w:iCs/>
        </w:rPr>
        <w:t>R v Gould</w:t>
      </w:r>
      <w:r w:rsidRPr="006546BC">
        <w:t xml:space="preserve"> [1968] 2 QB 65, the court retains a discretion to depart from its earlier authorities where it is satisfied that they were wrongly decided, and in particular where adherence to them would risk injustice, including the upholding of an unsafe conviction. </w:t>
      </w:r>
    </w:p>
    <w:p w14:paraId="7AB87308" w14:textId="298F7C6B" w:rsidR="006546BC" w:rsidRPr="006546BC" w:rsidRDefault="006546BC" w:rsidP="00404B49">
      <w:pPr>
        <w:pStyle w:val="ParaLevel1"/>
      </w:pPr>
      <w:r w:rsidRPr="006546BC">
        <w:t xml:space="preserve">We are not persuaded that </w:t>
      </w:r>
      <w:r w:rsidRPr="006546BC">
        <w:rPr>
          <w:i/>
        </w:rPr>
        <w:t xml:space="preserve">Khan </w:t>
      </w:r>
      <w:r w:rsidRPr="006546BC">
        <w:t xml:space="preserve">was wrongly decided. It is an entirely logical application of s1(1) </w:t>
      </w:r>
      <w:r w:rsidR="007064AF">
        <w:t xml:space="preserve">of the </w:t>
      </w:r>
      <w:r w:rsidRPr="006546BC">
        <w:t xml:space="preserve">Criminal Attempts Act 1981. A man who tries to penetrate a woman who does not consent to it in circumstances in which he does not reasonably believe that she is consenting is attempting to rape that woman. It would be to impose a further hurdle not justified on the wording of the legislation to hold that it must be proved that the man also intended that the woman was not consenting. The direction contended for by the appellant would be to elevate what, for rape, is a duty to prove the contemporaneous states of mind of the victim and the defendant into a requirement that, in a case of attempted rape, the prosecution must prove the defendant’s intention that the victim should have that state of mind.  That is neither a necessary nor a desirable result. To hold to the contrary would lead to the perverse result that a man who has no reasonable belief in a woman’s consent to intercourse but simply does not care whether or not she is consenting rather than intends that she is not, commits no offence of attempted rape while trying to effect penetration of the non-consenting woman. He would, however, then become guilty of the full offence of rape once any degree of penetration is achieved. We are fortified in our view that </w:t>
      </w:r>
      <w:r w:rsidRPr="006546BC">
        <w:rPr>
          <w:i/>
        </w:rPr>
        <w:t xml:space="preserve">Khan </w:t>
      </w:r>
      <w:r w:rsidRPr="006546BC">
        <w:t xml:space="preserve">is correctly decided by the reasoning in </w:t>
      </w:r>
      <w:r w:rsidRPr="006546BC">
        <w:rPr>
          <w:i/>
        </w:rPr>
        <w:t xml:space="preserve">Khan </w:t>
      </w:r>
      <w:r w:rsidRPr="006546BC">
        <w:t xml:space="preserve">being approved and applied in </w:t>
      </w:r>
      <w:r w:rsidRPr="006546BC">
        <w:rPr>
          <w:i/>
        </w:rPr>
        <w:t xml:space="preserve">Attorney-General’s Reference (No3 of 1992). </w:t>
      </w:r>
      <w:r w:rsidRPr="006546BC">
        <w:t xml:space="preserve"> </w:t>
      </w:r>
    </w:p>
    <w:p w14:paraId="5F1D5A93" w14:textId="77777777" w:rsidR="006546BC" w:rsidRPr="006546BC" w:rsidRDefault="006546BC" w:rsidP="00404B49">
      <w:pPr>
        <w:pStyle w:val="ParaLevel1"/>
      </w:pPr>
      <w:r w:rsidRPr="006546BC">
        <w:t xml:space="preserve">We find nothing in </w:t>
      </w:r>
      <w:r w:rsidRPr="006546BC">
        <w:rPr>
          <w:i/>
          <w:iCs/>
        </w:rPr>
        <w:t>R -v- Pace and Rogers</w:t>
      </w:r>
      <w:r w:rsidRPr="006546BC">
        <w:t xml:space="preserve"> to cause us to doubt the correctness of the decision in </w:t>
      </w:r>
      <w:r w:rsidRPr="006546BC">
        <w:rPr>
          <w:i/>
          <w:iCs/>
        </w:rPr>
        <w:t>Khan</w:t>
      </w:r>
      <w:r w:rsidRPr="006546BC">
        <w:t>. The legal framework in the case of offences involving the conversion of criminal property is very different from that applicable in cases of rape. There is no logical inconsistency between the approach adopted in the two cases.</w:t>
      </w:r>
    </w:p>
    <w:p w14:paraId="23DC20BD" w14:textId="4AE34CC6" w:rsidR="006546BC" w:rsidRPr="006546BC" w:rsidRDefault="006546BC" w:rsidP="00404B49">
      <w:pPr>
        <w:pStyle w:val="ParaLevel1"/>
      </w:pPr>
      <w:r w:rsidRPr="006546BC">
        <w:t xml:space="preserve">We have considered whether we need to distinguish </w:t>
      </w:r>
      <w:r w:rsidRPr="006546BC">
        <w:rPr>
          <w:i/>
          <w:iCs/>
        </w:rPr>
        <w:t>Khan</w:t>
      </w:r>
      <w:r w:rsidRPr="006546BC">
        <w:t xml:space="preserve"> in order to achieve a just result (</w:t>
      </w:r>
      <w:r w:rsidRPr="006546BC">
        <w:rPr>
          <w:i/>
          <w:iCs/>
        </w:rPr>
        <w:t>R -v- Gould</w:t>
      </w:r>
      <w:r w:rsidRPr="006546BC">
        <w:t xml:space="preserve">). Applying </w:t>
      </w:r>
      <w:r w:rsidRPr="006546BC">
        <w:rPr>
          <w:i/>
          <w:iCs/>
        </w:rPr>
        <w:t>Khan</w:t>
      </w:r>
      <w:r w:rsidRPr="006546BC">
        <w:t xml:space="preserve"> to the facts of this case results in no injustice. The appellant, who had been watching the sexual assault take place from close quarters, encouraged the principal offender to touch in a sexual way an obviously drunk women who was in no state to consent to the touching. He then responded to an invitation to assist the principal in a physical way by removing the victim’s underwear and turning her onto her back while she was unconscious. He stood by and watched as the principal offender removed his own clothing and climbed on top of his helpless victim. This was a strong case, made stronger by the appellant’s failure to give evidence in a case where </w:t>
      </w:r>
      <w:r w:rsidR="006B5143">
        <w:t>the jury had to decide</w:t>
      </w:r>
      <w:r w:rsidRPr="006546BC">
        <w:t xml:space="preserve"> his reasonable belief in consent. </w:t>
      </w:r>
    </w:p>
    <w:p w14:paraId="20C47FAA" w14:textId="77777777" w:rsidR="006546BC" w:rsidRPr="006546BC" w:rsidRDefault="006546BC" w:rsidP="00404B49">
      <w:pPr>
        <w:pStyle w:val="ParaLevel1"/>
      </w:pPr>
      <w:r w:rsidRPr="006546BC">
        <w:t xml:space="preserve">We do not find that there is merit in this ground. </w:t>
      </w:r>
    </w:p>
    <w:p w14:paraId="152C0C3D" w14:textId="77777777" w:rsidR="006546BC" w:rsidRPr="00B949F3" w:rsidRDefault="006546BC" w:rsidP="00404B49">
      <w:pPr>
        <w:pStyle w:val="ParaHeading"/>
        <w:rPr>
          <w:b/>
          <w:bCs/>
        </w:rPr>
      </w:pPr>
      <w:r w:rsidRPr="00B949F3">
        <w:rPr>
          <w:b/>
          <w:bCs/>
        </w:rPr>
        <w:lastRenderedPageBreak/>
        <w:t>Ground 2</w:t>
      </w:r>
    </w:p>
    <w:p w14:paraId="493EBC93" w14:textId="77777777" w:rsidR="006546BC" w:rsidRPr="006546BC" w:rsidRDefault="006546BC" w:rsidP="00404B49">
      <w:pPr>
        <w:pStyle w:val="ParaLevel1"/>
      </w:pPr>
      <w:r w:rsidRPr="006546BC">
        <w:t xml:space="preserve">The appellant submits that, even if the direction contended for in ground 1 is not required in a case of attempted rape for the principal offender, the directions given by the trial Judge fall foul of the principles of secondary liability for a crime as set out in </w:t>
      </w:r>
      <w:r w:rsidRPr="006546BC">
        <w:rPr>
          <w:i/>
          <w:iCs/>
        </w:rPr>
        <w:t>R -v- Jogee [2016] UKSC 8.</w:t>
      </w:r>
      <w:r w:rsidRPr="006546BC">
        <w:t xml:space="preserve"> </w:t>
      </w:r>
    </w:p>
    <w:p w14:paraId="3CAB2462" w14:textId="77777777" w:rsidR="006546BC" w:rsidRPr="006546BC" w:rsidRDefault="006546BC" w:rsidP="00404B49">
      <w:pPr>
        <w:pStyle w:val="ParaLevel1"/>
      </w:pPr>
      <w:r w:rsidRPr="006546BC">
        <w:t xml:space="preserve">In </w:t>
      </w:r>
      <w:r w:rsidRPr="006546BC">
        <w:rPr>
          <w:i/>
          <w:iCs/>
        </w:rPr>
        <w:t>Jogee</w:t>
      </w:r>
      <w:r w:rsidRPr="006546BC">
        <w:t xml:space="preserve"> Lord Hughes restated the principles of secondary liability as follows: </w:t>
      </w:r>
    </w:p>
    <w:p w14:paraId="628A482B" w14:textId="441A57DF" w:rsidR="006546BC" w:rsidRPr="00B949F3" w:rsidRDefault="00B949F3" w:rsidP="00404B49">
      <w:pPr>
        <w:pStyle w:val="Quote"/>
        <w:rPr>
          <w:i/>
          <w:iCs/>
        </w:rPr>
      </w:pPr>
      <w:r w:rsidRPr="00B949F3">
        <w:rPr>
          <w:i/>
          <w:iCs/>
        </w:rPr>
        <w:t>“</w:t>
      </w:r>
      <w:r w:rsidR="006546BC" w:rsidRPr="00B949F3">
        <w:rPr>
          <w:i/>
          <w:iCs/>
        </w:rPr>
        <w:t xml:space="preserve">[9] Subject to the question whether a different rule applies to cases of parasitic accessory liability, the mental element in assisting or encouraging is an intention to assist or encourage the commission of the crime and this requires knowledge of any </w:t>
      </w:r>
      <w:r w:rsidR="006546BC" w:rsidRPr="00B949F3">
        <w:rPr>
          <w:i/>
          <w:iCs/>
          <w:u w:val="single"/>
        </w:rPr>
        <w:t>existing facts necessary</w:t>
      </w:r>
      <w:r w:rsidR="006546BC" w:rsidRPr="00B949F3">
        <w:rPr>
          <w:i/>
          <w:iCs/>
        </w:rPr>
        <w:t xml:space="preserve"> </w:t>
      </w:r>
      <w:r w:rsidR="006546BC" w:rsidRPr="00B949F3">
        <w:rPr>
          <w:i/>
          <w:iCs/>
          <w:u w:val="single"/>
        </w:rPr>
        <w:t>for it to be criminal</w:t>
      </w:r>
      <w:r w:rsidR="006546BC" w:rsidRPr="00B949F3">
        <w:rPr>
          <w:i/>
          <w:iCs/>
        </w:rPr>
        <w:t xml:space="preserve"> (emphasis added).</w:t>
      </w:r>
    </w:p>
    <w:p w14:paraId="0002593F" w14:textId="77777777" w:rsidR="006546BC" w:rsidRPr="00B949F3" w:rsidRDefault="006546BC" w:rsidP="00404B49">
      <w:pPr>
        <w:pStyle w:val="Quote"/>
        <w:rPr>
          <w:i/>
          <w:iCs/>
        </w:rPr>
      </w:pPr>
      <w:r w:rsidRPr="00B949F3">
        <w:rPr>
          <w:i/>
          <w:iCs/>
        </w:rPr>
        <w:t xml:space="preserve">[10] If the crime requires a particular intent, D2 must intend to assist or encourage D1 to act with such intent. D2’s intention to assist D1 to commit the offence, and to act with whatever mental element is required of D1, will often be co-extensive on the facts with an intention by D2 that the offence be committed. Where that is so, it will be seen that many of the cases discuss D2’s mental element simply in terms of intention to commit the offence. </w:t>
      </w:r>
    </w:p>
    <w:p w14:paraId="5D58D57F" w14:textId="20F9036C" w:rsidR="006546BC" w:rsidRPr="007064AF" w:rsidRDefault="006546BC" w:rsidP="00404B49">
      <w:pPr>
        <w:pStyle w:val="Quote"/>
      </w:pPr>
      <w:r w:rsidRPr="00B949F3">
        <w:rPr>
          <w:i/>
          <w:iCs/>
        </w:rPr>
        <w:t>[90] If the crime requires a particular intent, D2 must intend to assist D1 to act with such intent.</w:t>
      </w:r>
      <w:r w:rsidR="007064AF">
        <w:t>”</w:t>
      </w:r>
    </w:p>
    <w:p w14:paraId="7CF0B9B2" w14:textId="77777777" w:rsidR="006546BC" w:rsidRPr="006546BC" w:rsidRDefault="006546BC" w:rsidP="00404B49">
      <w:pPr>
        <w:pStyle w:val="ParaLevel1"/>
      </w:pPr>
      <w:r w:rsidRPr="006546BC">
        <w:t xml:space="preserve">The appellant makes two points. The first is that, consistent with </w:t>
      </w:r>
      <w:r w:rsidRPr="006546BC">
        <w:rPr>
          <w:i/>
          <w:iCs/>
        </w:rPr>
        <w:t>Jogee</w:t>
      </w:r>
      <w:r w:rsidRPr="006546BC">
        <w:t>, the proper question for the jury to be asked was whether they were sure that the appellant intended that Hashemi should penetrate LV when he, Hashemi, did not reasonably believe that LV was consenting and not whether they were sure that the appellant did not reasonably believe that LV consented to it.</w:t>
      </w:r>
    </w:p>
    <w:p w14:paraId="32E42859" w14:textId="77777777" w:rsidR="006546BC" w:rsidRPr="006546BC" w:rsidRDefault="006546BC" w:rsidP="00404B49">
      <w:pPr>
        <w:pStyle w:val="ParaLevel1"/>
      </w:pPr>
      <w:r w:rsidRPr="006546BC">
        <w:t xml:space="preserve">That submission is consistent with </w:t>
      </w:r>
      <w:r w:rsidRPr="006546BC">
        <w:rPr>
          <w:i/>
          <w:iCs/>
        </w:rPr>
        <w:t xml:space="preserve">Jogee [90]. </w:t>
      </w:r>
      <w:r w:rsidRPr="006546BC">
        <w:t xml:space="preserve">However, as was accepted in argument, it would also have involved the jury in embarking on a very difficult reasoning process, requiring of them to draw inferences as to what one man believed to be in another man’s mind at the moment of attempted penetration. </w:t>
      </w:r>
    </w:p>
    <w:p w14:paraId="12ECBDFB" w14:textId="77777777" w:rsidR="006546BC" w:rsidRPr="006546BC" w:rsidRDefault="006546BC" w:rsidP="00404B49">
      <w:pPr>
        <w:pStyle w:val="ParaLevel1"/>
      </w:pPr>
      <w:r w:rsidRPr="006546BC">
        <w:t xml:space="preserve">On the facts of this case, the jury could properly be spared such anguish. Lord Hughes in </w:t>
      </w:r>
      <w:r w:rsidRPr="006546BC">
        <w:rPr>
          <w:i/>
          <w:iCs/>
        </w:rPr>
        <w:t>Jogee</w:t>
      </w:r>
      <w:r w:rsidRPr="006546BC">
        <w:t xml:space="preserve"> </w:t>
      </w:r>
      <w:r w:rsidRPr="006546BC">
        <w:rPr>
          <w:i/>
          <w:iCs/>
        </w:rPr>
        <w:t xml:space="preserve">[10] </w:t>
      </w:r>
      <w:r w:rsidRPr="006546BC">
        <w:t xml:space="preserve">recognised that in many cases the state of mind of the secondary party and, were he to have given thought to it, the state of mind he would have concluded the principal to have had, would be coterminous. This is such a case. It is inconceivable on the facts of this case that if the appellant did not reasonably believe “LV” to have been consenting, he might nevertheless have concluded that “Hashemi” did harbour such a reasonable belief.  In those circumstances is it quite proper for the Judge to elide the concept of the appellant’s own belief and his belief as to the principal’s state of mind into one easy to follow question. It does no disservice to the appellant. The question posed required the jury to consider the circumstances in which the act of intercourse took place and the evidence as to whether LV was capable of giving consent or did give it and how obvious this would have been to a participant in the evening’s event. </w:t>
      </w:r>
    </w:p>
    <w:p w14:paraId="1DAD77ED" w14:textId="77777777" w:rsidR="006546BC" w:rsidRPr="006546BC" w:rsidRDefault="006546BC" w:rsidP="00404B49">
      <w:pPr>
        <w:pStyle w:val="ParaLevel1"/>
      </w:pPr>
      <w:r w:rsidRPr="006546BC">
        <w:lastRenderedPageBreak/>
        <w:t xml:space="preserve">It follows that we are not persuaded that the direction was wrong for this reason. </w:t>
      </w:r>
    </w:p>
    <w:p w14:paraId="4E7BD96E" w14:textId="77777777" w:rsidR="006546BC" w:rsidRPr="006546BC" w:rsidRDefault="006546BC" w:rsidP="00404B49">
      <w:pPr>
        <w:pStyle w:val="ParaLevel1"/>
      </w:pPr>
      <w:r w:rsidRPr="006546BC">
        <w:t xml:space="preserve">The second submission of the appellant is that one of the “facts necessary for [the penetration] to be criminal” is the lack of consent of the person being penetrated </w:t>
      </w:r>
      <w:r w:rsidRPr="006546BC">
        <w:rPr>
          <w:i/>
          <w:iCs/>
        </w:rPr>
        <w:t>(see Jogee [9])</w:t>
      </w:r>
      <w:r w:rsidRPr="006546BC">
        <w:t xml:space="preserve">. Without lack of consent, the penetration is simply intercourse and not rape. Therefore, the jury in this case ought to have been directed that they should only convict if sure that the appellant knew that the victim was not consenting. The direction given to the jury permitted a conviction where the jury were sure only that he had no reasonable belief that she was consenting and was therefore inadequate. </w:t>
      </w:r>
    </w:p>
    <w:p w14:paraId="472E31C3" w14:textId="77777777" w:rsidR="006546BC" w:rsidRPr="006546BC" w:rsidRDefault="006546BC" w:rsidP="00404B49">
      <w:pPr>
        <w:pStyle w:val="ParaLevel1"/>
      </w:pPr>
      <w:r w:rsidRPr="006546BC">
        <w:t xml:space="preserve">The respondent submits that the lack of consent is not one of the facts necessary for the penetration to be criminal. Therefore, the direction of the trial judge was proper in not directing the jury to consider the appellant’s knowledge of lack of consent. They submit that the direction sought by the appellant would be to vary the </w:t>
      </w:r>
      <w:r w:rsidRPr="00974206">
        <w:rPr>
          <w:i/>
          <w:iCs/>
        </w:rPr>
        <w:t>mens rea</w:t>
      </w:r>
      <w:r w:rsidRPr="006546BC">
        <w:t xml:space="preserve"> for rape from the </w:t>
      </w:r>
      <w:r w:rsidRPr="006D2C5C">
        <w:rPr>
          <w:i/>
          <w:iCs/>
        </w:rPr>
        <w:t>mens rea</w:t>
      </w:r>
      <w:r w:rsidRPr="006546BC">
        <w:t xml:space="preserve"> clearly set out in s1(1) Sexual Offences Act 2003 to a more exacting and difficult to prove standard. </w:t>
      </w:r>
    </w:p>
    <w:p w14:paraId="44FA315B" w14:textId="77777777" w:rsidR="006546BC" w:rsidRPr="006546BC" w:rsidRDefault="006546BC" w:rsidP="00404B49">
      <w:pPr>
        <w:pStyle w:val="ParaLevel1"/>
      </w:pPr>
      <w:r w:rsidRPr="006546BC">
        <w:t xml:space="preserve">We reject the respondent’s submission on this point. A lack of consent on the part of the person being penetrated is the essential necessary condition to transform an act of penetration into rape.  Consider the case of a man who penetrates a woman not believing her to be consenting but, unbeknown to him, she is a willing party to events. His belief would not turn his actions into rape. That is because the necessary fact to turn it into rape, the lack of consent, is missing. Therefore, as </w:t>
      </w:r>
      <w:r w:rsidRPr="006546BC">
        <w:rPr>
          <w:i/>
          <w:iCs/>
        </w:rPr>
        <w:t xml:space="preserve">Jogee </w:t>
      </w:r>
      <w:r w:rsidRPr="006546BC">
        <w:t xml:space="preserve">requires the prosecution to prove that a secondary party knows of all necessary facts before he can be convicted, it must follow that one of the necessary facts which the secondary party must know is the lack of consent to the act of penetration by the principal offender.  </w:t>
      </w:r>
    </w:p>
    <w:p w14:paraId="4E91DCB6" w14:textId="0391C0A0" w:rsidR="006546BC" w:rsidRPr="006546BC" w:rsidRDefault="006546BC" w:rsidP="00404B49">
      <w:pPr>
        <w:pStyle w:val="ParaLevel1"/>
      </w:pPr>
      <w:r w:rsidRPr="006546BC">
        <w:t xml:space="preserve">The respondent seeks to rely on </w:t>
      </w:r>
      <w:r w:rsidRPr="006546BC">
        <w:rPr>
          <w:i/>
          <w:iCs/>
        </w:rPr>
        <w:t>R -v- Cogan and Leake</w:t>
      </w:r>
      <w:r w:rsidRPr="006546BC">
        <w:t xml:space="preserve"> </w:t>
      </w:r>
      <w:r w:rsidRPr="006546BC">
        <w:rPr>
          <w:i/>
          <w:iCs/>
        </w:rPr>
        <w:t>[1976] QB 217.</w:t>
      </w:r>
      <w:r w:rsidRPr="006546BC">
        <w:t xml:space="preserve"> There, a husband L told his wife to have sexual intercourse with his friend C. She submitted to intercourse through fear but did not consent. L knew full well that she did not consent. C and L were both convicted of rape – L as an aider and abettor. C’s conviction was later overturned and L appealed on the basis that, as a secondary party, he could not be guilty of more than the principal. </w:t>
      </w:r>
      <w:r w:rsidR="003D274F">
        <w:t>T</w:t>
      </w:r>
      <w:r w:rsidRPr="006546BC">
        <w:t xml:space="preserve">hat argument was rejected on appeal. </w:t>
      </w:r>
    </w:p>
    <w:p w14:paraId="716D4661" w14:textId="77777777" w:rsidR="006546BC" w:rsidRPr="006546BC" w:rsidRDefault="006546BC" w:rsidP="00404B49">
      <w:pPr>
        <w:pStyle w:val="ParaLevel1"/>
      </w:pPr>
      <w:r w:rsidRPr="006546BC">
        <w:t xml:space="preserve">Properly analysed, that case does not assist the respondent. Applying </w:t>
      </w:r>
      <w:r w:rsidRPr="006546BC">
        <w:rPr>
          <w:i/>
          <w:iCs/>
        </w:rPr>
        <w:t>Jogee</w:t>
      </w:r>
      <w:r w:rsidRPr="006546BC">
        <w:t xml:space="preserve">, the necessary fact to be known by the secondary party husband before he could be convicted, was the lack of consent on the part of his wife. The secondary party knew that his wife did not consent; it was the principal who was apparently unaware of it. The appellant here would accept that L was guilty because he knew of his wife’s lack of consent. They submit that this jury should have been directed to consider whether this appellant was proved to have equivalent knowledge to L as to LV’s unwillingness to engage in intercourse with Hashemi. </w:t>
      </w:r>
    </w:p>
    <w:p w14:paraId="7F70017C" w14:textId="77777777" w:rsidR="006546BC" w:rsidRPr="006546BC" w:rsidRDefault="006546BC" w:rsidP="00404B49">
      <w:pPr>
        <w:pStyle w:val="ParaLevel1"/>
      </w:pPr>
      <w:r w:rsidRPr="006546BC">
        <w:t xml:space="preserve">This result might be said to present a higher hurdle to a prosecutor wishing to prove rape against a secondary party than a principal. That is not necessarily objectionable. In any event there will be cases in which the gap between proving that a defendant knew that a woman was not consenting to penetration and his concluding that the principal offender had no reasonable belief that she was doing so is vanishingly small. The evidence that he must have known that the woman was not consenting is likely to be the same evidence that would be relied on to establish that he had no reasonable belief </w:t>
      </w:r>
      <w:r w:rsidRPr="006546BC">
        <w:lastRenderedPageBreak/>
        <w:t xml:space="preserve">in her consenting or must have known that the principal did not have such a reasonable belief. </w:t>
      </w:r>
    </w:p>
    <w:p w14:paraId="23C2F9EE" w14:textId="77777777" w:rsidR="006546BC" w:rsidRPr="006546BC" w:rsidRDefault="006546BC" w:rsidP="00404B49">
      <w:pPr>
        <w:pStyle w:val="ParaLevel1"/>
      </w:pPr>
      <w:r w:rsidRPr="006546BC">
        <w:t>That is so in this case. LV was so drunk that she was unconscious when penetration was attempted. This must have been clear to the appellant as he had watched events unfold from close by and had removed LV’s underwear and turned her over while she was in a state of unconsciousness. She was undoubtedly in no state to consent to sexual activity and it can readily be inferred that he must have known that. He did not give evidence to rebut this overwhelming inference.</w:t>
      </w:r>
      <w:r w:rsidRPr="006546BC">
        <w:rPr>
          <w:color w:val="FF0000"/>
        </w:rPr>
        <w:t xml:space="preserve"> </w:t>
      </w:r>
      <w:r w:rsidRPr="006546BC">
        <w:t>The jury must have concluded when answering the question as to the appellant’s reasonable belief in consent against him that she did not in fact consent. It was the only evidential basis for their conclusion as to his state of mind. We cannot conceive that, had the proper question been asked of them (i.e. as to whether they were sure that he must have known that she was not consenting to the penetration), they would not have answered it in the same way.</w:t>
      </w:r>
    </w:p>
    <w:p w14:paraId="76BD2FE2" w14:textId="77777777" w:rsidR="006546BC" w:rsidRPr="006546BC" w:rsidRDefault="006546BC" w:rsidP="00404B49">
      <w:pPr>
        <w:pStyle w:val="ParaLevel1"/>
      </w:pPr>
      <w:r w:rsidRPr="006546BC">
        <w:t xml:space="preserve">Therefore, while we find that the judge misdirected the jury as to the mental element required of a secondary party to attempted rape in that she did not tell them that they had to be sure that the appellant knew that LV was not consenting, this does not come close to rendering the conviction unsafe on the facts of this case. </w:t>
      </w:r>
    </w:p>
    <w:p w14:paraId="648A0EF3" w14:textId="77777777" w:rsidR="006546BC" w:rsidRDefault="006546BC" w:rsidP="00404B49">
      <w:pPr>
        <w:pStyle w:val="ParaLevel1"/>
      </w:pPr>
      <w:r w:rsidRPr="006546BC">
        <w:t xml:space="preserve">The appeal is dismissed. </w:t>
      </w:r>
    </w:p>
    <w:sectPr w:rsidR="006546BC" w:rsidSect="00404B49">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F88C4" w14:textId="77777777" w:rsidR="00EB4C33" w:rsidRDefault="00EB4C33">
      <w:r>
        <w:separator/>
      </w:r>
    </w:p>
  </w:endnote>
  <w:endnote w:type="continuationSeparator" w:id="0">
    <w:p w14:paraId="448D2874" w14:textId="77777777" w:rsidR="00EB4C33" w:rsidRDefault="00EB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370F" w14:textId="77777777" w:rsidR="00404B49" w:rsidRDefault="00404B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4FB6" w14:textId="77777777" w:rsidR="00C439A3" w:rsidRDefault="00C439A3">
    <w:pPr>
      <w:pStyle w:val="Footer"/>
      <w:jc w:val="cen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4AF16" w14:textId="77777777" w:rsidR="00404B49" w:rsidRDefault="00404B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3FE6" w14:textId="77777777" w:rsidR="00C439A3" w:rsidRPr="00404B49" w:rsidRDefault="00C439A3" w:rsidP="00404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04FC" w14:textId="77777777" w:rsidR="00EB4C33" w:rsidRDefault="00EB4C33">
      <w:r>
        <w:separator/>
      </w:r>
    </w:p>
  </w:footnote>
  <w:footnote w:type="continuationSeparator" w:id="0">
    <w:p w14:paraId="78AC68C0" w14:textId="77777777" w:rsidR="00EB4C33" w:rsidRDefault="00EB4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2F10" w14:textId="77777777" w:rsidR="00404B49" w:rsidRDefault="00404B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26128" w14:textId="77777777" w:rsidR="00404B49" w:rsidRDefault="00404B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AD675" w14:textId="77777777" w:rsidR="00404B49" w:rsidRDefault="00404B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622"/>
      <w:gridCol w:w="4622"/>
    </w:tblGrid>
    <w:tr w:rsidR="00C439A3" w14:paraId="3A338268" w14:textId="77777777">
      <w:tc>
        <w:tcPr>
          <w:tcW w:w="4622" w:type="dxa"/>
        </w:tcPr>
        <w:p w14:paraId="4DC44B83" w14:textId="3DE52177" w:rsidR="00C439A3" w:rsidRPr="00404B49" w:rsidRDefault="00404B49">
          <w:pPr>
            <w:pStyle w:val="Header"/>
            <w:rPr>
              <w:rFonts w:ascii="Times New Roman" w:hAnsi="Times New Roman"/>
              <w:b/>
              <w:sz w:val="16"/>
              <w:u w:val="single"/>
            </w:rPr>
          </w:pPr>
          <w:r>
            <w:rPr>
              <w:rFonts w:ascii="Times New Roman" w:hAnsi="Times New Roman"/>
              <w:b/>
              <w:sz w:val="16"/>
              <w:u w:val="single"/>
            </w:rPr>
            <w:t>Judgment Approved by the court for handing down.</w:t>
          </w:r>
        </w:p>
      </w:tc>
      <w:tc>
        <w:tcPr>
          <w:tcW w:w="4622" w:type="dxa"/>
        </w:tcPr>
        <w:p w14:paraId="7E91CB5C" w14:textId="6034BCC7" w:rsidR="00C439A3" w:rsidRDefault="001A27DA">
          <w:pPr>
            <w:pStyle w:val="Header"/>
            <w:jc w:val="right"/>
            <w:rPr>
              <w:rFonts w:ascii="Times New Roman" w:hAnsi="Times New Roman"/>
              <w:sz w:val="16"/>
            </w:rPr>
          </w:pPr>
          <w:r>
            <w:rPr>
              <w:rFonts w:ascii="Times New Roman" w:hAnsi="Times New Roman"/>
              <w:sz w:val="16"/>
            </w:rPr>
            <w:t>Adrian Pop v REX</w:t>
          </w:r>
        </w:p>
      </w:tc>
    </w:tr>
  </w:tbl>
  <w:p w14:paraId="651E9E87" w14:textId="77777777" w:rsidR="00C439A3" w:rsidRDefault="00C43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CCFBD8"/>
    <w:lvl w:ilvl="0">
      <w:start w:val="1"/>
      <w:numFmt w:val="decimal"/>
      <w:lvlText w:val="%1."/>
      <w:lvlJc w:val="left"/>
      <w:pPr>
        <w:tabs>
          <w:tab w:val="num" w:pos="1492"/>
        </w:tabs>
        <w:ind w:left="1492" w:hanging="360"/>
      </w:pPr>
    </w:lvl>
  </w:abstractNum>
  <w:abstractNum w:abstractNumId="1" w15:restartNumberingAfterBreak="0">
    <w:nsid w:val="2A8738DD"/>
    <w:multiLevelType w:val="hybridMultilevel"/>
    <w:tmpl w:val="8E4C8AD8"/>
    <w:lvl w:ilvl="0" w:tplc="D818BBD6">
      <w:start w:val="1"/>
      <w:numFmt w:val="lowerLetter"/>
      <w:lvlText w:val="(%1)"/>
      <w:lvlJc w:val="left"/>
      <w:pPr>
        <w:ind w:left="1817" w:hanging="377"/>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 w15:restartNumberingAfterBreak="0">
    <w:nsid w:val="4AD5231E"/>
    <w:multiLevelType w:val="hybridMultilevel"/>
    <w:tmpl w:val="BDCE14BC"/>
    <w:lvl w:ilvl="0" w:tplc="02D2B116">
      <w:start w:val="1"/>
      <w:numFmt w:val="decimal"/>
      <w:pStyle w:val="Style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5D0A191A"/>
    <w:multiLevelType w:val="hybridMultilevel"/>
    <w:tmpl w:val="04824012"/>
    <w:lvl w:ilvl="0" w:tplc="8290488E">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4" w15:restartNumberingAfterBreak="0">
    <w:nsid w:val="63A20CF9"/>
    <w:multiLevelType w:val="hybridMultilevel"/>
    <w:tmpl w:val="29F60972"/>
    <w:lvl w:ilvl="0" w:tplc="B86A7252">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5" w15:restartNumberingAfterBreak="0">
    <w:nsid w:val="729A582E"/>
    <w:multiLevelType w:val="hybridMultilevel"/>
    <w:tmpl w:val="258242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4ED74D4"/>
    <w:multiLevelType w:val="hybridMultilevel"/>
    <w:tmpl w:val="8C1A49B6"/>
    <w:lvl w:ilvl="0" w:tplc="EECA425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75D70B9F"/>
    <w:multiLevelType w:val="multilevel"/>
    <w:tmpl w:val="3CB41738"/>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num w:numId="1" w16cid:durableId="897936660">
    <w:abstractNumId w:val="7"/>
  </w:num>
  <w:num w:numId="2" w16cid:durableId="142426703">
    <w:abstractNumId w:val="7"/>
  </w:num>
  <w:num w:numId="3" w16cid:durableId="147744880">
    <w:abstractNumId w:val="7"/>
  </w:num>
  <w:num w:numId="4" w16cid:durableId="301085318">
    <w:abstractNumId w:val="7"/>
  </w:num>
  <w:num w:numId="5" w16cid:durableId="956453023">
    <w:abstractNumId w:val="7"/>
  </w:num>
  <w:num w:numId="6" w16cid:durableId="1318534881">
    <w:abstractNumId w:val="7"/>
  </w:num>
  <w:num w:numId="7" w16cid:durableId="1643733856">
    <w:abstractNumId w:val="7"/>
  </w:num>
  <w:num w:numId="8" w16cid:durableId="787429766">
    <w:abstractNumId w:val="7"/>
  </w:num>
  <w:num w:numId="9" w16cid:durableId="370419050">
    <w:abstractNumId w:val="7"/>
  </w:num>
  <w:num w:numId="10" w16cid:durableId="2111391643">
    <w:abstractNumId w:val="0"/>
  </w:num>
  <w:num w:numId="11" w16cid:durableId="12397466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12658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4810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52381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87679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38132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BC"/>
    <w:rsid w:val="00013ACD"/>
    <w:rsid w:val="00024DC3"/>
    <w:rsid w:val="00026093"/>
    <w:rsid w:val="00042B77"/>
    <w:rsid w:val="00077AFB"/>
    <w:rsid w:val="00105811"/>
    <w:rsid w:val="00105A09"/>
    <w:rsid w:val="00126E3F"/>
    <w:rsid w:val="001A27DA"/>
    <w:rsid w:val="001F37D7"/>
    <w:rsid w:val="001F4140"/>
    <w:rsid w:val="001F4662"/>
    <w:rsid w:val="0022564A"/>
    <w:rsid w:val="00241C16"/>
    <w:rsid w:val="002C3CE4"/>
    <w:rsid w:val="002E73CF"/>
    <w:rsid w:val="00307E36"/>
    <w:rsid w:val="00321C25"/>
    <w:rsid w:val="003227FE"/>
    <w:rsid w:val="00322931"/>
    <w:rsid w:val="00335563"/>
    <w:rsid w:val="003D274F"/>
    <w:rsid w:val="00404B49"/>
    <w:rsid w:val="004203BC"/>
    <w:rsid w:val="004327D1"/>
    <w:rsid w:val="00437BF8"/>
    <w:rsid w:val="004A0082"/>
    <w:rsid w:val="004D6788"/>
    <w:rsid w:val="004E025C"/>
    <w:rsid w:val="00533B29"/>
    <w:rsid w:val="0055329D"/>
    <w:rsid w:val="00576D01"/>
    <w:rsid w:val="005A6808"/>
    <w:rsid w:val="005B1516"/>
    <w:rsid w:val="005B4605"/>
    <w:rsid w:val="005E4B2A"/>
    <w:rsid w:val="005E7D47"/>
    <w:rsid w:val="006039E3"/>
    <w:rsid w:val="00604C06"/>
    <w:rsid w:val="006546BC"/>
    <w:rsid w:val="0066135A"/>
    <w:rsid w:val="006B5143"/>
    <w:rsid w:val="006D2C5C"/>
    <w:rsid w:val="006D5048"/>
    <w:rsid w:val="006E2A7C"/>
    <w:rsid w:val="007064AF"/>
    <w:rsid w:val="0074425C"/>
    <w:rsid w:val="007B0098"/>
    <w:rsid w:val="007B040C"/>
    <w:rsid w:val="00862D37"/>
    <w:rsid w:val="008A6122"/>
    <w:rsid w:val="00905987"/>
    <w:rsid w:val="00923F03"/>
    <w:rsid w:val="009647F0"/>
    <w:rsid w:val="00974206"/>
    <w:rsid w:val="009831D2"/>
    <w:rsid w:val="0099435D"/>
    <w:rsid w:val="009C278C"/>
    <w:rsid w:val="009C46CE"/>
    <w:rsid w:val="009E1C75"/>
    <w:rsid w:val="009F2B96"/>
    <w:rsid w:val="00A07559"/>
    <w:rsid w:val="00A35DDA"/>
    <w:rsid w:val="00A81A0B"/>
    <w:rsid w:val="00A830AD"/>
    <w:rsid w:val="00AC2E88"/>
    <w:rsid w:val="00B26956"/>
    <w:rsid w:val="00B623DA"/>
    <w:rsid w:val="00B63CC9"/>
    <w:rsid w:val="00B650D0"/>
    <w:rsid w:val="00B66551"/>
    <w:rsid w:val="00B71453"/>
    <w:rsid w:val="00B949F3"/>
    <w:rsid w:val="00BC486F"/>
    <w:rsid w:val="00BC76B6"/>
    <w:rsid w:val="00BD7F27"/>
    <w:rsid w:val="00BF445C"/>
    <w:rsid w:val="00BF5214"/>
    <w:rsid w:val="00C32E42"/>
    <w:rsid w:val="00C439A3"/>
    <w:rsid w:val="00C53A01"/>
    <w:rsid w:val="00C56672"/>
    <w:rsid w:val="00C66886"/>
    <w:rsid w:val="00C85FCE"/>
    <w:rsid w:val="00CA4E3E"/>
    <w:rsid w:val="00CC3035"/>
    <w:rsid w:val="00CF7D46"/>
    <w:rsid w:val="00D03AA9"/>
    <w:rsid w:val="00D101B7"/>
    <w:rsid w:val="00D61BD2"/>
    <w:rsid w:val="00D83C4F"/>
    <w:rsid w:val="00DC49EC"/>
    <w:rsid w:val="00DC5834"/>
    <w:rsid w:val="00E03A2C"/>
    <w:rsid w:val="00E12D69"/>
    <w:rsid w:val="00E4157E"/>
    <w:rsid w:val="00E43E42"/>
    <w:rsid w:val="00E53588"/>
    <w:rsid w:val="00EB4C33"/>
    <w:rsid w:val="00EC57AA"/>
    <w:rsid w:val="00EF1246"/>
    <w:rsid w:val="00F23E3C"/>
    <w:rsid w:val="00F50AFF"/>
    <w:rsid w:val="00F81232"/>
    <w:rsid w:val="00FA4D86"/>
    <w:rsid w:val="00FA5A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11DDA"/>
  <w15:chartTrackingRefBased/>
  <w15:docId w15:val="{757E4D42-E6F7-4D47-8F3E-7520BA1B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ext">
    <w:name w:val="CoverText"/>
    <w:basedOn w:val="Normal"/>
    <w:pPr>
      <w:jc w:val="right"/>
    </w:pPr>
    <w:rPr>
      <w:szCs w:val="20"/>
      <w:u w:val="single"/>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pPr>
      <w:tabs>
        <w:tab w:val="center" w:pos="4153"/>
        <w:tab w:val="right" w:pos="8306"/>
      </w:tabs>
    </w:pPr>
    <w:rPr>
      <w:rFonts w:ascii="Univers (W1)" w:hAnsi="Univers (W1)"/>
      <w:szCs w:val="20"/>
    </w:rPr>
  </w:style>
  <w:style w:type="paragraph" w:styleId="Footer">
    <w:name w:val="footer"/>
    <w:basedOn w:val="Normal"/>
    <w:pPr>
      <w:tabs>
        <w:tab w:val="center" w:pos="4153"/>
        <w:tab w:val="right" w:pos="8306"/>
      </w:tabs>
    </w:pPr>
    <w:rPr>
      <w:rFonts w:ascii="Univers (W1)" w:hAnsi="Univers (W1)"/>
      <w:szCs w:val="20"/>
    </w:rPr>
  </w:style>
  <w:style w:type="character" w:styleId="PageNumber">
    <w:name w:val="page number"/>
    <w:rPr>
      <w:sz w:val="20"/>
    </w:rPr>
  </w:style>
  <w:style w:type="paragraph" w:customStyle="1" w:styleId="CoverDesc">
    <w:name w:val="CoverDesc"/>
    <w:basedOn w:val="Normal"/>
    <w:pPr>
      <w:jc w:val="center"/>
    </w:pPr>
    <w:rPr>
      <w:b/>
      <w:sz w:val="36"/>
      <w:szCs w:val="20"/>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Heading1"/>
    <w:pPr>
      <w:spacing w:before="240" w:after="240"/>
      <w:jc w:val="both"/>
    </w:pPr>
    <w:rPr>
      <w:szCs w:val="20"/>
    </w:rPr>
  </w:style>
  <w:style w:type="paragraph" w:styleId="Quote">
    <w:name w:val="Quote"/>
    <w:basedOn w:val="Normal"/>
    <w:next w:val="ParaLevel1"/>
    <w:qFormat/>
    <w:pPr>
      <w:spacing w:after="240"/>
      <w:ind w:left="1440" w:right="1440"/>
      <w:jc w:val="both"/>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paragraph" w:customStyle="1" w:styleId="eMailBlock">
    <w:name w:val="eMailBlock"/>
    <w:basedOn w:val="Title"/>
    <w:rPr>
      <w:sz w:val="26"/>
    </w:rPr>
  </w:style>
  <w:style w:type="paragraph" w:styleId="ListParagraph">
    <w:name w:val="List Paragraph"/>
    <w:basedOn w:val="Normal"/>
    <w:uiPriority w:val="34"/>
    <w:qFormat/>
    <w:rsid w:val="006546BC"/>
    <w:pPr>
      <w:ind w:left="720"/>
      <w:contextualSpacing/>
    </w:pPr>
    <w:rPr>
      <w:rFonts w:ascii="Georgia" w:eastAsia="Georgia" w:hAnsi="Georgia"/>
      <w:lang w:eastAsia="ja-JP"/>
    </w:rPr>
  </w:style>
  <w:style w:type="paragraph" w:customStyle="1" w:styleId="Style1">
    <w:name w:val="Style1"/>
    <w:basedOn w:val="Normal"/>
    <w:qFormat/>
    <w:rsid w:val="006546BC"/>
    <w:pPr>
      <w:widowControl w:val="0"/>
      <w:numPr>
        <w:numId w:val="11"/>
      </w:numPr>
      <w:tabs>
        <w:tab w:val="left" w:pos="432"/>
      </w:tabs>
      <w:spacing w:line="480" w:lineRule="auto"/>
      <w:ind w:left="0" w:firstLine="0"/>
      <w:jc w:val="both"/>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cv51v\OneDrive%20-%20Ministry%20of%20Justice\JudgmentTemplate\Templates\ca_judg2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21C8F-9296-47A0-83DD-D397BB0D5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ca_judg2k</Template>
  <TotalTime>2</TotalTime>
  <Pages>11</Pages>
  <Words>4382</Words>
  <Characters>24982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Court of Appeal Judgment Template</vt:lpstr>
    </vt:vector>
  </TitlesOfParts>
  <Company>RCJ - In House Applications</Company>
  <LinksUpToDate>false</LinksUpToDate>
  <CharactersWithSpaces>29306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Appeal Judgment Template</dc:title>
  <dc:subject/>
  <dc:creator>McIntosh, William (HMCS-RCJ)</dc:creator>
  <cp:keywords/>
  <dc:description/>
  <cp:lastModifiedBy>McIntosh, William (HMCS-RCJ)</cp:lastModifiedBy>
  <cp:revision>3</cp:revision>
  <cp:lastPrinted>2026-06-22T15:06:00Z</cp:lastPrinted>
  <dcterms:created xsi:type="dcterms:W3CDTF">2026-06-22T15:18:00Z</dcterms:created>
  <dcterms:modified xsi:type="dcterms:W3CDTF">2026-06-22T15:19:00Z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CRIMINAL</vt:lpwstr>
  </property>
  <property fmtid="{D5CDD505-2E9C-101B-9397-08002B2CF9AE}" pid="5" name="SubDivision">
    <vt:lpwstr/>
  </property>
  <property fmtid="{D5CDD505-2E9C-101B-9397-08002B2CF9AE}" pid="6" name="ApprovedStage">
    <vt:lpwstr>Approved</vt:lpwstr>
  </property>
  <property fmtid="{D5CDD505-2E9C-101B-9397-08002B2CF9AE}" pid="7" name="NCDiv">
    <vt:lpwstr>Crim</vt:lpwstr>
  </property>
  <property fmtid="{D5CDD505-2E9C-101B-9397-08002B2CF9AE}" pid="8" name="NCJudge">
    <vt:lpwstr>LORD JUSTICE JEREMY BAKER</vt:lpwstr>
  </property>
  <property fmtid="{D5CDD505-2E9C-101B-9397-08002B2CF9AE}" pid="9" name="NCCaseNum">
    <vt:lpwstr>202501196 B4</vt:lpwstr>
  </property>
  <property fmtid="{D5CDD505-2E9C-101B-9397-08002B2CF9AE}" pid="10" name="NCNumber">
    <vt:lpwstr>[2026] EWCA Crim 774</vt:lpwstr>
  </property>
</Properties>
</file>